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337" w:rsidRDefault="00A25337" w:rsidP="00A25337">
      <w:pPr>
        <w:jc w:val="center"/>
        <w:rPr>
          <w:rFonts w:ascii="Arial" w:hAnsi="Arial" w:cs="Arial"/>
          <w:b/>
          <w:sz w:val="20"/>
        </w:rPr>
      </w:pPr>
      <w:bookmarkStart w:id="0" w:name="_GoBack"/>
      <w:r>
        <w:rPr>
          <w:rFonts w:ascii="Arial" w:hAnsi="Arial" w:cs="Arial"/>
          <w:b/>
          <w:sz w:val="20"/>
        </w:rPr>
        <w:t xml:space="preserve">Erosion sous-glaciaire et érosion des versants dans le Massif du Mont Blanc : apport des isotopes </w:t>
      </w:r>
      <w:proofErr w:type="spellStart"/>
      <w:r>
        <w:rPr>
          <w:rFonts w:ascii="Arial" w:hAnsi="Arial" w:cs="Arial"/>
          <w:b/>
          <w:sz w:val="20"/>
        </w:rPr>
        <w:t>cosmogéniques</w:t>
      </w:r>
      <w:proofErr w:type="spellEnd"/>
    </w:p>
    <w:bookmarkEnd w:id="0"/>
    <w:p w:rsidR="00A25337" w:rsidRDefault="00A25337" w:rsidP="00A25337">
      <w:pPr>
        <w:rPr>
          <w:rFonts w:ascii="Arial" w:hAnsi="Arial" w:cs="Arial"/>
          <w:b/>
          <w:sz w:val="20"/>
        </w:rPr>
      </w:pPr>
    </w:p>
    <w:p w:rsidR="00A25337" w:rsidRPr="00FB3372" w:rsidRDefault="00A25337" w:rsidP="00A25337">
      <w:pPr>
        <w:rPr>
          <w:rFonts w:ascii="Arial" w:hAnsi="Arial" w:cs="Arial"/>
          <w:b/>
          <w:sz w:val="20"/>
        </w:rPr>
      </w:pPr>
      <w:r w:rsidRPr="00FB3372">
        <w:rPr>
          <w:rFonts w:ascii="Arial" w:hAnsi="Arial" w:cs="Arial"/>
          <w:b/>
          <w:sz w:val="20"/>
        </w:rPr>
        <w:t xml:space="preserve">1. Intérêt scientifique et état de l’art </w:t>
      </w:r>
    </w:p>
    <w:p w:rsidR="00A25337" w:rsidRPr="00FB3372" w:rsidRDefault="00A25337" w:rsidP="00A25337">
      <w:pPr>
        <w:rPr>
          <w:rFonts w:ascii="Arial" w:hAnsi="Arial" w:cs="Arial"/>
          <w:sz w:val="20"/>
        </w:rPr>
      </w:pPr>
    </w:p>
    <w:p w:rsidR="00A25337" w:rsidRPr="00FB3372" w:rsidRDefault="00A25337" w:rsidP="00A25337">
      <w:pPr>
        <w:rPr>
          <w:rFonts w:ascii="Arial" w:hAnsi="Arial" w:cs="Arial"/>
          <w:sz w:val="20"/>
        </w:rPr>
      </w:pPr>
    </w:p>
    <w:p w:rsidR="00A25337" w:rsidRPr="00E40CE3" w:rsidRDefault="00A25337" w:rsidP="00A25337">
      <w:pPr>
        <w:pStyle w:val="Textebrut1"/>
        <w:ind w:firstLine="709"/>
        <w:jc w:val="both"/>
        <w:rPr>
          <w:rFonts w:ascii="Times New Roman" w:hAnsi="Times New Roman" w:cs="Times New Roman"/>
          <w:sz w:val="24"/>
          <w:szCs w:val="24"/>
        </w:rPr>
      </w:pPr>
      <w:r w:rsidRPr="00E910A1">
        <w:rPr>
          <w:rFonts w:ascii="Times New Roman" w:hAnsi="Times New Roman" w:cs="Times New Roman"/>
          <w:sz w:val="24"/>
          <w:szCs w:val="24"/>
        </w:rPr>
        <w:t>La période quaternaire est caractérisée par un accroissement de la production de sédiments (</w:t>
      </w:r>
      <w:proofErr w:type="spellStart"/>
      <w:r w:rsidRPr="00E910A1">
        <w:rPr>
          <w:rFonts w:ascii="Times New Roman" w:hAnsi="Times New Roman" w:cs="Times New Roman"/>
          <w:sz w:val="24"/>
          <w:szCs w:val="24"/>
        </w:rPr>
        <w:t>e.g</w:t>
      </w:r>
      <w:proofErr w:type="spellEnd"/>
      <w:r>
        <w:rPr>
          <w:rFonts w:ascii="Times New Roman" w:hAnsi="Times New Roman" w:cs="Times New Roman"/>
          <w:sz w:val="24"/>
          <w:szCs w:val="24"/>
        </w:rPr>
        <w:t>.</w:t>
      </w:r>
      <w:r w:rsidRPr="00E910A1">
        <w:rPr>
          <w:rFonts w:ascii="Times New Roman" w:hAnsi="Times New Roman" w:cs="Times New Roman"/>
          <w:sz w:val="24"/>
          <w:szCs w:val="24"/>
        </w:rPr>
        <w:t xml:space="preserve"> Kuhlmann et </w:t>
      </w:r>
      <w:proofErr w:type="gramStart"/>
      <w:r w:rsidRPr="00E910A1">
        <w:rPr>
          <w:rFonts w:ascii="Times New Roman" w:hAnsi="Times New Roman" w:cs="Times New Roman"/>
          <w:sz w:val="24"/>
          <w:szCs w:val="24"/>
        </w:rPr>
        <w:t>al.,</w:t>
      </w:r>
      <w:proofErr w:type="gramEnd"/>
      <w:r w:rsidRPr="00E910A1">
        <w:rPr>
          <w:rFonts w:ascii="Times New Roman" w:hAnsi="Times New Roman" w:cs="Times New Roman"/>
          <w:sz w:val="24"/>
          <w:szCs w:val="24"/>
        </w:rPr>
        <w:t xml:space="preserve"> 2002). Cet accroissement de l'érosion des reliefs semble lié aux phases de glaciation, mais les processus exacts qui le contrôlent sont encore débattus: processus de versants accrus sous l'effet des conditions climatiques (</w:t>
      </w:r>
      <w:proofErr w:type="spellStart"/>
      <w:r w:rsidRPr="00E910A1">
        <w:rPr>
          <w:rFonts w:ascii="Times New Roman" w:hAnsi="Times New Roman" w:cs="Times New Roman"/>
          <w:sz w:val="24"/>
          <w:szCs w:val="24"/>
        </w:rPr>
        <w:t>Delunel</w:t>
      </w:r>
      <w:proofErr w:type="spellEnd"/>
      <w:r w:rsidRPr="00E910A1">
        <w:rPr>
          <w:rFonts w:ascii="Times New Roman" w:hAnsi="Times New Roman" w:cs="Times New Roman"/>
          <w:sz w:val="24"/>
          <w:szCs w:val="24"/>
        </w:rPr>
        <w:t xml:space="preserve"> et </w:t>
      </w:r>
      <w:proofErr w:type="gramStart"/>
      <w:r w:rsidRPr="00E910A1">
        <w:rPr>
          <w:rFonts w:ascii="Times New Roman" w:hAnsi="Times New Roman" w:cs="Times New Roman"/>
          <w:sz w:val="24"/>
          <w:szCs w:val="24"/>
        </w:rPr>
        <w:t>al.,</w:t>
      </w:r>
      <w:proofErr w:type="gramEnd"/>
      <w:r w:rsidRPr="00E910A1">
        <w:rPr>
          <w:rFonts w:ascii="Times New Roman" w:hAnsi="Times New Roman" w:cs="Times New Roman"/>
          <w:sz w:val="24"/>
          <w:szCs w:val="24"/>
        </w:rPr>
        <w:t xml:space="preserve"> 2010), et/ou succession de phases de déséquilibres du relief sous l'effet des cycles successifs de glaciation/déglaciation (Molnar, 2004</w:t>
      </w:r>
      <w:r>
        <w:rPr>
          <w:rFonts w:ascii="Times New Roman" w:hAnsi="Times New Roman" w:cs="Times New Roman"/>
          <w:sz w:val="24"/>
          <w:szCs w:val="24"/>
        </w:rPr>
        <w:t>) ou</w:t>
      </w:r>
      <w:r w:rsidRPr="00E910A1">
        <w:rPr>
          <w:rFonts w:ascii="Times New Roman" w:hAnsi="Times New Roman" w:cs="Times New Roman"/>
          <w:sz w:val="24"/>
          <w:szCs w:val="24"/>
        </w:rPr>
        <w:t xml:space="preserve"> érosion à la base des glaciers (</w:t>
      </w:r>
      <w:proofErr w:type="spellStart"/>
      <w:r w:rsidRPr="00E910A1">
        <w:rPr>
          <w:rFonts w:ascii="Times New Roman" w:hAnsi="Times New Roman" w:cs="Times New Roman"/>
          <w:sz w:val="24"/>
          <w:szCs w:val="24"/>
        </w:rPr>
        <w:t>Hallet</w:t>
      </w:r>
      <w:proofErr w:type="spellEnd"/>
      <w:r w:rsidRPr="00E910A1">
        <w:rPr>
          <w:rFonts w:ascii="Times New Roman" w:hAnsi="Times New Roman" w:cs="Times New Roman"/>
          <w:sz w:val="24"/>
          <w:szCs w:val="24"/>
        </w:rPr>
        <w:t xml:space="preserve"> et al., 1996)? </w:t>
      </w:r>
      <w:r>
        <w:rPr>
          <w:rFonts w:ascii="Times New Roman" w:hAnsi="Times New Roman" w:cs="Times New Roman"/>
          <w:sz w:val="24"/>
          <w:szCs w:val="24"/>
        </w:rPr>
        <w:t xml:space="preserve">Dans les glaciers, l’érosion sous glaciaire est fréquemment estimée à partir de la charge solide des torrents issus de la base </w:t>
      </w:r>
      <w:r w:rsidRPr="00E40CE3">
        <w:rPr>
          <w:rFonts w:ascii="Times New Roman" w:hAnsi="Times New Roman" w:cs="Times New Roman"/>
          <w:sz w:val="24"/>
          <w:szCs w:val="24"/>
        </w:rPr>
        <w:t>de glaciers</w:t>
      </w:r>
      <w:r>
        <w:rPr>
          <w:rFonts w:ascii="Times New Roman" w:hAnsi="Times New Roman" w:cs="Times New Roman"/>
          <w:sz w:val="24"/>
          <w:szCs w:val="24"/>
        </w:rPr>
        <w:t xml:space="preserve"> (Synthèse in </w:t>
      </w:r>
      <w:proofErr w:type="spellStart"/>
      <w:r>
        <w:rPr>
          <w:rFonts w:ascii="Times New Roman" w:hAnsi="Times New Roman" w:cs="Times New Roman"/>
          <w:sz w:val="24"/>
          <w:szCs w:val="24"/>
        </w:rPr>
        <w:t>Hallet</w:t>
      </w:r>
      <w:proofErr w:type="spellEnd"/>
      <w:r>
        <w:rPr>
          <w:rFonts w:ascii="Times New Roman" w:hAnsi="Times New Roman" w:cs="Times New Roman"/>
          <w:sz w:val="24"/>
          <w:szCs w:val="24"/>
        </w:rPr>
        <w:t xml:space="preserve"> et al. 1996). Si cette méthode ne pose pas de problème pour les glaciers de calotte, dans les glaciers de montagne, une</w:t>
      </w:r>
      <w:r w:rsidRPr="00E40CE3">
        <w:rPr>
          <w:rFonts w:ascii="Times New Roman" w:hAnsi="Times New Roman" w:cs="Times New Roman"/>
          <w:sz w:val="24"/>
          <w:szCs w:val="24"/>
        </w:rPr>
        <w:t xml:space="preserve"> question se pose : la charge solide des torrents sous-glaciaires provient-elle exclusivement de l’érosion à la base du glacier ou </w:t>
      </w:r>
      <w:r>
        <w:rPr>
          <w:rFonts w:ascii="Times New Roman" w:hAnsi="Times New Roman" w:cs="Times New Roman"/>
          <w:sz w:val="24"/>
          <w:szCs w:val="24"/>
        </w:rPr>
        <w:t>bien résulte-t-elle d’un mélange entre les sédiments issus de l’érosion sous-glaciaire et ceux fournis par les versants dominant le glacier</w:t>
      </w:r>
      <w:r w:rsidRPr="00E40CE3">
        <w:rPr>
          <w:rFonts w:ascii="Times New Roman" w:hAnsi="Times New Roman" w:cs="Times New Roman"/>
          <w:sz w:val="24"/>
          <w:szCs w:val="24"/>
        </w:rPr>
        <w:t>?</w:t>
      </w:r>
    </w:p>
    <w:p w:rsidR="00A25337" w:rsidRPr="007F32D5" w:rsidRDefault="00A25337" w:rsidP="00A25337">
      <w:pPr>
        <w:pStyle w:val="Textebrut"/>
        <w:ind w:firstLine="709"/>
        <w:jc w:val="both"/>
        <w:rPr>
          <w:rFonts w:ascii="Times New Roman" w:hAnsi="Times New Roman" w:cs="Times New Roman"/>
          <w:sz w:val="24"/>
          <w:szCs w:val="24"/>
        </w:rPr>
      </w:pPr>
      <w:r w:rsidRPr="007F32D5">
        <w:rPr>
          <w:rFonts w:ascii="Times New Roman" w:hAnsi="Times New Roman" w:cs="Times New Roman"/>
          <w:noProof/>
          <w:sz w:val="24"/>
          <w:szCs w:val="24"/>
        </w:rPr>
        <w:drawing>
          <wp:inline distT="0" distB="0" distL="0" distR="0">
            <wp:extent cx="5761990" cy="35299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990" cy="3529965"/>
                    </a:xfrm>
                    <a:prstGeom prst="rect">
                      <a:avLst/>
                    </a:prstGeom>
                    <a:noFill/>
                    <a:ln>
                      <a:noFill/>
                    </a:ln>
                  </pic:spPr>
                </pic:pic>
              </a:graphicData>
            </a:graphic>
          </wp:inline>
        </w:drawing>
      </w:r>
    </w:p>
    <w:p w:rsidR="00A25337" w:rsidRDefault="00A25337" w:rsidP="00A25337">
      <w:pPr>
        <w:pStyle w:val="Textebrut"/>
        <w:ind w:firstLine="709"/>
        <w:jc w:val="both"/>
        <w:rPr>
          <w:rFonts w:ascii="Times New Roman" w:hAnsi="Times New Roman" w:cs="Times New Roman"/>
          <w:i/>
          <w:sz w:val="24"/>
          <w:szCs w:val="24"/>
        </w:rPr>
      </w:pPr>
      <w:r w:rsidRPr="007B6904">
        <w:rPr>
          <w:rFonts w:ascii="Times New Roman" w:hAnsi="Times New Roman" w:cs="Times New Roman"/>
          <w:i/>
          <w:sz w:val="24"/>
          <w:szCs w:val="24"/>
        </w:rPr>
        <w:t>Fig. 1 : localisation des campagnes d’</w:t>
      </w:r>
      <w:r w:rsidRPr="001221D8">
        <w:rPr>
          <w:rFonts w:ascii="Times New Roman" w:hAnsi="Times New Roman" w:cs="Times New Roman"/>
          <w:i/>
          <w:sz w:val="24"/>
          <w:szCs w:val="24"/>
        </w:rPr>
        <w:t>échantillon</w:t>
      </w:r>
      <w:r>
        <w:rPr>
          <w:rFonts w:ascii="Times New Roman" w:hAnsi="Times New Roman" w:cs="Times New Roman"/>
          <w:i/>
          <w:sz w:val="24"/>
          <w:szCs w:val="24"/>
        </w:rPr>
        <w:t>n</w:t>
      </w:r>
      <w:r w:rsidRPr="001221D8">
        <w:rPr>
          <w:rFonts w:ascii="Times New Roman" w:hAnsi="Times New Roman" w:cs="Times New Roman"/>
          <w:i/>
          <w:sz w:val="24"/>
          <w:szCs w:val="24"/>
        </w:rPr>
        <w:t>age</w:t>
      </w:r>
      <w:r w:rsidRPr="007B6904">
        <w:rPr>
          <w:rFonts w:ascii="Times New Roman" w:hAnsi="Times New Roman" w:cs="Times New Roman"/>
          <w:i/>
          <w:sz w:val="24"/>
          <w:szCs w:val="24"/>
        </w:rPr>
        <w:t xml:space="preserve"> des torrents sous-glaciaires et de la charge supra-glaciaire du glacier des Bossons </w:t>
      </w:r>
    </w:p>
    <w:p w:rsidR="00A25337" w:rsidRPr="007B6904" w:rsidRDefault="00A25337" w:rsidP="00A25337">
      <w:pPr>
        <w:pStyle w:val="Textebrut"/>
        <w:ind w:firstLine="709"/>
        <w:jc w:val="both"/>
        <w:rPr>
          <w:rFonts w:ascii="Times New Roman" w:hAnsi="Times New Roman" w:cs="Times New Roman"/>
          <w:i/>
          <w:sz w:val="24"/>
          <w:szCs w:val="24"/>
        </w:rPr>
      </w:pPr>
    </w:p>
    <w:p w:rsidR="00A25337" w:rsidRDefault="00A25337" w:rsidP="00A25337">
      <w:pPr>
        <w:pStyle w:val="Textebrut"/>
        <w:ind w:firstLine="709"/>
        <w:jc w:val="both"/>
        <w:rPr>
          <w:rFonts w:ascii="Times New Roman" w:hAnsi="Times New Roman" w:cs="Times New Roman"/>
          <w:sz w:val="24"/>
          <w:szCs w:val="24"/>
        </w:rPr>
      </w:pPr>
      <w:r>
        <w:rPr>
          <w:rFonts w:ascii="Times New Roman" w:hAnsi="Times New Roman" w:cs="Times New Roman"/>
          <w:sz w:val="24"/>
          <w:szCs w:val="24"/>
        </w:rPr>
        <w:t>En effet, d</w:t>
      </w:r>
      <w:r w:rsidRPr="00E40CE3">
        <w:rPr>
          <w:rFonts w:ascii="Times New Roman" w:hAnsi="Times New Roman" w:cs="Times New Roman"/>
          <w:sz w:val="24"/>
          <w:szCs w:val="24"/>
        </w:rPr>
        <w:t xml:space="preserve">ans le </w:t>
      </w:r>
      <w:r>
        <w:rPr>
          <w:rFonts w:ascii="Times New Roman" w:hAnsi="Times New Roman" w:cs="Times New Roman"/>
          <w:sz w:val="24"/>
          <w:szCs w:val="24"/>
        </w:rPr>
        <w:t>massif du Mont-Blanc, l’étude de deux torrents issus du glacier des Bossons (</w:t>
      </w:r>
      <w:r w:rsidRPr="00E40CE3">
        <w:rPr>
          <w:rFonts w:ascii="Times New Roman" w:hAnsi="Times New Roman" w:cs="Times New Roman"/>
          <w:sz w:val="24"/>
          <w:szCs w:val="24"/>
        </w:rPr>
        <w:t xml:space="preserve">torrents de </w:t>
      </w:r>
      <w:proofErr w:type="spellStart"/>
      <w:r w:rsidRPr="00E40CE3">
        <w:rPr>
          <w:rFonts w:ascii="Times New Roman" w:hAnsi="Times New Roman" w:cs="Times New Roman"/>
          <w:sz w:val="24"/>
          <w:szCs w:val="24"/>
        </w:rPr>
        <w:t>Crosette</w:t>
      </w:r>
      <w:proofErr w:type="spellEnd"/>
      <w:r w:rsidRPr="00E40CE3">
        <w:rPr>
          <w:rFonts w:ascii="Times New Roman" w:hAnsi="Times New Roman" w:cs="Times New Roman"/>
          <w:sz w:val="24"/>
          <w:szCs w:val="24"/>
        </w:rPr>
        <w:t xml:space="preserve"> et</w:t>
      </w:r>
      <w:r>
        <w:rPr>
          <w:rFonts w:ascii="Times New Roman" w:hAnsi="Times New Roman" w:cs="Times New Roman"/>
          <w:sz w:val="24"/>
          <w:szCs w:val="24"/>
        </w:rPr>
        <w:t xml:space="preserve"> Bossons, Fig. 1) par la méthode de la géochronologie détritique (U/Pb sur zircon) comme traceur des sources (Godon et </w:t>
      </w:r>
      <w:proofErr w:type="gramStart"/>
      <w:r>
        <w:rPr>
          <w:rFonts w:ascii="Times New Roman" w:hAnsi="Times New Roman" w:cs="Times New Roman"/>
          <w:sz w:val="24"/>
          <w:szCs w:val="24"/>
        </w:rPr>
        <w:t>al.,</w:t>
      </w:r>
      <w:proofErr w:type="gramEnd"/>
      <w:r>
        <w:rPr>
          <w:rFonts w:ascii="Times New Roman" w:hAnsi="Times New Roman" w:cs="Times New Roman"/>
          <w:sz w:val="24"/>
          <w:szCs w:val="24"/>
        </w:rPr>
        <w:t xml:space="preserve"> 2013) a permis de montrer que:  </w:t>
      </w:r>
    </w:p>
    <w:p w:rsidR="00A25337" w:rsidRDefault="00A25337" w:rsidP="00A25337">
      <w:pPr>
        <w:pStyle w:val="Textebrut"/>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La charge supra- glaciaire est composée en majorité de clastes issus du pluton granitique daté à 303 Ma et qui constitue la partie sommitale de la face Nord du Mont-Blanc et de l’Aiguille du Midi. </w:t>
      </w:r>
    </w:p>
    <w:p w:rsidR="00A25337" w:rsidRDefault="00A25337" w:rsidP="00A25337">
      <w:pPr>
        <w:pStyle w:val="Textebrut"/>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Les sédiments transportés par le torrent de </w:t>
      </w:r>
      <w:proofErr w:type="spellStart"/>
      <w:r>
        <w:rPr>
          <w:rFonts w:ascii="Times New Roman" w:hAnsi="Times New Roman" w:cs="Times New Roman"/>
          <w:sz w:val="24"/>
          <w:szCs w:val="24"/>
        </w:rPr>
        <w:t>Crosette</w:t>
      </w:r>
      <w:proofErr w:type="spellEnd"/>
      <w:r>
        <w:rPr>
          <w:rFonts w:ascii="Times New Roman" w:hAnsi="Times New Roman" w:cs="Times New Roman"/>
          <w:sz w:val="24"/>
          <w:szCs w:val="24"/>
        </w:rPr>
        <w:t xml:space="preserve"> proviennent à plus de 90% de l’encaissant </w:t>
      </w:r>
      <w:proofErr w:type="spellStart"/>
      <w:r>
        <w:rPr>
          <w:rFonts w:ascii="Times New Roman" w:hAnsi="Times New Roman" w:cs="Times New Roman"/>
          <w:sz w:val="24"/>
          <w:szCs w:val="24"/>
        </w:rPr>
        <w:t>polymétamorphique</w:t>
      </w:r>
      <w:proofErr w:type="spellEnd"/>
      <w:r>
        <w:rPr>
          <w:rFonts w:ascii="Times New Roman" w:hAnsi="Times New Roman" w:cs="Times New Roman"/>
          <w:sz w:val="24"/>
          <w:szCs w:val="24"/>
        </w:rPr>
        <w:t xml:space="preserve"> entourant le pluton et constituant la majorité du substratum du glacier ; résultat cohérent avec un processus d’érosion sous-glaciaire. </w:t>
      </w:r>
    </w:p>
    <w:p w:rsidR="00A25337" w:rsidRDefault="00A25337" w:rsidP="00A25337">
      <w:pPr>
        <w:pStyle w:val="Textebrut"/>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Les sédiments transportés par le torrent des Bossons proviennent à moins de 50%  du substratum </w:t>
      </w:r>
      <w:proofErr w:type="spellStart"/>
      <w:r>
        <w:rPr>
          <w:rFonts w:ascii="Times New Roman" w:hAnsi="Times New Roman" w:cs="Times New Roman"/>
          <w:sz w:val="24"/>
          <w:szCs w:val="24"/>
        </w:rPr>
        <w:t>polymétamorphique</w:t>
      </w:r>
      <w:proofErr w:type="spellEnd"/>
      <w:r>
        <w:rPr>
          <w:rFonts w:ascii="Times New Roman" w:hAnsi="Times New Roman" w:cs="Times New Roman"/>
          <w:sz w:val="24"/>
          <w:szCs w:val="24"/>
        </w:rPr>
        <w:t xml:space="preserve">; ceux-ci constituent exclusivement le substratum du bassin versant de ce torrent sous-glaciaire. Ces résultats sont cohérents avec un mélange de deux sources de sédiments : l’une d’origine sous-glaciaire (les </w:t>
      </w:r>
      <w:proofErr w:type="spellStart"/>
      <w:r>
        <w:rPr>
          <w:rFonts w:ascii="Times New Roman" w:hAnsi="Times New Roman" w:cs="Times New Roman"/>
          <w:sz w:val="24"/>
          <w:szCs w:val="24"/>
        </w:rPr>
        <w:t>polymétamorphiques</w:t>
      </w:r>
      <w:proofErr w:type="spellEnd"/>
      <w:r>
        <w:rPr>
          <w:rFonts w:ascii="Times New Roman" w:hAnsi="Times New Roman" w:cs="Times New Roman"/>
          <w:sz w:val="24"/>
          <w:szCs w:val="24"/>
        </w:rPr>
        <w:t xml:space="preserve">), l’autre d’origine supra glaciaire (le granite issus de la partie supérieure du versant nord du Mont-Blanc). </w:t>
      </w:r>
    </w:p>
    <w:p w:rsidR="00A25337" w:rsidRDefault="00A25337" w:rsidP="00A25337">
      <w:pPr>
        <w:pStyle w:val="Textebrut"/>
        <w:numPr>
          <w:ilvl w:val="0"/>
          <w:numId w:val="1"/>
        </w:numPr>
        <w:jc w:val="both"/>
        <w:rPr>
          <w:rFonts w:ascii="Times New Roman" w:hAnsi="Times New Roman" w:cs="Times New Roman"/>
          <w:sz w:val="24"/>
          <w:szCs w:val="24"/>
        </w:rPr>
      </w:pPr>
      <w:r>
        <w:rPr>
          <w:rFonts w:ascii="Times New Roman" w:hAnsi="Times New Roman" w:cs="Times New Roman"/>
          <w:sz w:val="24"/>
          <w:szCs w:val="24"/>
        </w:rPr>
        <w:t>L’application d’équations de mélange indique pour les deux torrents des résultats très différents : dans le cas du torrent des Bossons, une proportion de ~</w:t>
      </w:r>
      <w:r w:rsidRPr="00E40CE3">
        <w:rPr>
          <w:rFonts w:ascii="Times New Roman" w:hAnsi="Times New Roman" w:cs="Times New Roman"/>
          <w:sz w:val="24"/>
          <w:szCs w:val="24"/>
        </w:rPr>
        <w:t>40</w:t>
      </w:r>
      <w:r>
        <w:rPr>
          <w:rFonts w:ascii="Times New Roman" w:hAnsi="Times New Roman" w:cs="Times New Roman"/>
          <w:sz w:val="24"/>
          <w:szCs w:val="24"/>
        </w:rPr>
        <w:t xml:space="preserve"> % de sédiments est lié à l’érosion sous glaciaire et le reste provenant de la charge supra-glaciaire alors que dans le cas du torrent de </w:t>
      </w:r>
      <w:proofErr w:type="spellStart"/>
      <w:r>
        <w:rPr>
          <w:rFonts w:ascii="Times New Roman" w:hAnsi="Times New Roman" w:cs="Times New Roman"/>
          <w:sz w:val="24"/>
          <w:szCs w:val="24"/>
        </w:rPr>
        <w:t>crosette</w:t>
      </w:r>
      <w:proofErr w:type="spellEnd"/>
      <w:r>
        <w:rPr>
          <w:rFonts w:ascii="Times New Roman" w:hAnsi="Times New Roman" w:cs="Times New Roman"/>
          <w:sz w:val="24"/>
          <w:szCs w:val="24"/>
        </w:rPr>
        <w:t>, plus de 85 % provient de l’érosion sous-glaciaire.</w:t>
      </w:r>
    </w:p>
    <w:p w:rsidR="00A25337" w:rsidRDefault="00A25337" w:rsidP="00A25337">
      <w:pPr>
        <w:pStyle w:val="Textebrut"/>
        <w:ind w:left="1069"/>
        <w:jc w:val="both"/>
        <w:rPr>
          <w:rFonts w:ascii="Times New Roman" w:hAnsi="Times New Roman" w:cs="Times New Roman"/>
          <w:sz w:val="24"/>
          <w:szCs w:val="24"/>
        </w:rPr>
      </w:pPr>
    </w:p>
    <w:p w:rsidR="00A25337" w:rsidRDefault="00A25337" w:rsidP="00A25337">
      <w:pPr>
        <w:pStyle w:val="Textebrut"/>
        <w:ind w:left="1069"/>
        <w:jc w:val="both"/>
        <w:rPr>
          <w:rFonts w:ascii="Times New Roman" w:hAnsi="Times New Roman" w:cs="Times New Roman"/>
          <w:sz w:val="24"/>
          <w:szCs w:val="24"/>
          <w:lang w:val="en-US"/>
        </w:rPr>
      </w:pPr>
      <w:r w:rsidRPr="00E71DC8">
        <w:rPr>
          <w:rFonts w:ascii="Times New Roman" w:hAnsi="Times New Roman" w:cs="Times New Roman"/>
          <w:noProof/>
          <w:sz w:val="24"/>
          <w:szCs w:val="24"/>
        </w:rPr>
        <w:drawing>
          <wp:inline distT="0" distB="0" distL="0" distR="0">
            <wp:extent cx="5398770" cy="239331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8770" cy="2393315"/>
                    </a:xfrm>
                    <a:prstGeom prst="rect">
                      <a:avLst/>
                    </a:prstGeom>
                    <a:noFill/>
                    <a:ln>
                      <a:noFill/>
                    </a:ln>
                  </pic:spPr>
                </pic:pic>
              </a:graphicData>
            </a:graphic>
          </wp:inline>
        </w:drawing>
      </w:r>
    </w:p>
    <w:p w:rsidR="00A25337" w:rsidRPr="007B6904" w:rsidRDefault="00A25337" w:rsidP="00A25337">
      <w:pPr>
        <w:pStyle w:val="Textebrut"/>
        <w:ind w:left="1069"/>
        <w:jc w:val="both"/>
        <w:rPr>
          <w:rFonts w:ascii="Times New Roman" w:hAnsi="Times New Roman" w:cs="Times New Roman"/>
          <w:i/>
          <w:sz w:val="24"/>
          <w:szCs w:val="24"/>
        </w:rPr>
      </w:pPr>
      <w:r w:rsidRPr="007B6904">
        <w:rPr>
          <w:rFonts w:ascii="Times New Roman" w:hAnsi="Times New Roman" w:cs="Times New Roman"/>
          <w:i/>
          <w:sz w:val="24"/>
          <w:szCs w:val="24"/>
        </w:rPr>
        <w:t xml:space="preserve">Fig. </w:t>
      </w:r>
      <w:r>
        <w:rPr>
          <w:rFonts w:ascii="Times New Roman" w:hAnsi="Times New Roman" w:cs="Times New Roman"/>
          <w:i/>
          <w:sz w:val="24"/>
          <w:szCs w:val="24"/>
        </w:rPr>
        <w:t>2</w:t>
      </w:r>
      <w:r w:rsidRPr="007B6904">
        <w:rPr>
          <w:rFonts w:ascii="Times New Roman" w:hAnsi="Times New Roman" w:cs="Times New Roman"/>
          <w:i/>
          <w:sz w:val="24"/>
          <w:szCs w:val="24"/>
        </w:rPr>
        <w:t>. Un schéma du flux de clastes en milieu glaciaire. Les clastes fournis par l'érosion des versants (</w:t>
      </w:r>
      <w:proofErr w:type="spellStart"/>
      <w:r w:rsidRPr="007B6904">
        <w:rPr>
          <w:rFonts w:ascii="Times New Roman" w:hAnsi="Times New Roman" w:cs="Times New Roman"/>
          <w:i/>
          <w:sz w:val="24"/>
          <w:szCs w:val="24"/>
        </w:rPr>
        <w:t>Fh</w:t>
      </w:r>
      <w:proofErr w:type="spellEnd"/>
      <w:r w:rsidRPr="007B6904">
        <w:rPr>
          <w:rFonts w:ascii="Times New Roman" w:hAnsi="Times New Roman" w:cs="Times New Roman"/>
          <w:i/>
          <w:sz w:val="24"/>
          <w:szCs w:val="24"/>
        </w:rPr>
        <w:t>) sont soit incorporés dans le glacier (</w:t>
      </w:r>
      <w:proofErr w:type="spellStart"/>
      <w:r w:rsidRPr="007B6904">
        <w:rPr>
          <w:rFonts w:ascii="Times New Roman" w:hAnsi="Times New Roman" w:cs="Times New Roman"/>
          <w:i/>
          <w:sz w:val="24"/>
          <w:szCs w:val="24"/>
        </w:rPr>
        <w:t>Fd</w:t>
      </w:r>
      <w:proofErr w:type="spellEnd"/>
      <w:r w:rsidRPr="007B6904">
        <w:rPr>
          <w:rFonts w:ascii="Times New Roman" w:hAnsi="Times New Roman" w:cs="Times New Roman"/>
          <w:i/>
          <w:sz w:val="24"/>
          <w:szCs w:val="24"/>
        </w:rPr>
        <w:t>) soit introduits dans les moraines latérales ou frontales (Fm). La charge de sédiments d'un cours d'eau sous-glaciaire (</w:t>
      </w:r>
      <w:proofErr w:type="spellStart"/>
      <w:r w:rsidRPr="007B6904">
        <w:rPr>
          <w:rFonts w:ascii="Times New Roman" w:hAnsi="Times New Roman" w:cs="Times New Roman"/>
          <w:i/>
          <w:sz w:val="24"/>
          <w:szCs w:val="24"/>
        </w:rPr>
        <w:t>Fs</w:t>
      </w:r>
      <w:proofErr w:type="spellEnd"/>
      <w:r w:rsidRPr="007B6904">
        <w:rPr>
          <w:rFonts w:ascii="Times New Roman" w:hAnsi="Times New Roman" w:cs="Times New Roman"/>
          <w:i/>
          <w:sz w:val="24"/>
          <w:szCs w:val="24"/>
        </w:rPr>
        <w:t>) est le mélange de deux composants : l'érosion à la base du glacier tempéré (</w:t>
      </w:r>
      <w:proofErr w:type="spellStart"/>
      <w:r w:rsidRPr="007B6904">
        <w:rPr>
          <w:rFonts w:ascii="Times New Roman" w:hAnsi="Times New Roman" w:cs="Times New Roman"/>
          <w:i/>
          <w:sz w:val="24"/>
          <w:szCs w:val="24"/>
        </w:rPr>
        <w:t>Ft</w:t>
      </w:r>
      <w:proofErr w:type="spellEnd"/>
      <w:r w:rsidRPr="007B6904">
        <w:rPr>
          <w:rFonts w:ascii="Times New Roman" w:hAnsi="Times New Roman" w:cs="Times New Roman"/>
          <w:i/>
          <w:sz w:val="24"/>
          <w:szCs w:val="24"/>
        </w:rPr>
        <w:t>) et les clastes fourni par l'érosion des versants et incorporés dans le glacier (</w:t>
      </w:r>
      <w:proofErr w:type="spellStart"/>
      <w:r w:rsidRPr="007B6904">
        <w:rPr>
          <w:rFonts w:ascii="Times New Roman" w:hAnsi="Times New Roman" w:cs="Times New Roman"/>
          <w:i/>
          <w:sz w:val="24"/>
          <w:szCs w:val="24"/>
        </w:rPr>
        <w:t>Fd</w:t>
      </w:r>
      <w:proofErr w:type="spellEnd"/>
      <w:r w:rsidRPr="007B6904">
        <w:rPr>
          <w:rFonts w:ascii="Times New Roman" w:hAnsi="Times New Roman" w:cs="Times New Roman"/>
          <w:i/>
          <w:sz w:val="24"/>
          <w:szCs w:val="24"/>
        </w:rPr>
        <w:t>). L’érosion à la base du glacier froid (</w:t>
      </w:r>
      <w:proofErr w:type="spellStart"/>
      <w:r w:rsidRPr="007B6904">
        <w:rPr>
          <w:rFonts w:ascii="Times New Roman" w:hAnsi="Times New Roman" w:cs="Times New Roman"/>
          <w:i/>
          <w:sz w:val="24"/>
          <w:szCs w:val="24"/>
        </w:rPr>
        <w:t>Fc</w:t>
      </w:r>
      <w:proofErr w:type="spellEnd"/>
      <w:r w:rsidRPr="007B6904">
        <w:rPr>
          <w:rFonts w:ascii="Times New Roman" w:hAnsi="Times New Roman" w:cs="Times New Roman"/>
          <w:i/>
          <w:sz w:val="24"/>
          <w:szCs w:val="24"/>
        </w:rPr>
        <w:t xml:space="preserve">) et la composante de l’érosion sous- glaciaire introduite dans le glacier sont négligeables (d’après Godon et </w:t>
      </w:r>
      <w:proofErr w:type="gramStart"/>
      <w:r w:rsidRPr="007B6904">
        <w:rPr>
          <w:rFonts w:ascii="Times New Roman" w:hAnsi="Times New Roman" w:cs="Times New Roman"/>
          <w:i/>
          <w:sz w:val="24"/>
          <w:szCs w:val="24"/>
        </w:rPr>
        <w:t>al.,</w:t>
      </w:r>
      <w:proofErr w:type="gramEnd"/>
      <w:r w:rsidRPr="007B6904">
        <w:rPr>
          <w:rFonts w:ascii="Times New Roman" w:hAnsi="Times New Roman" w:cs="Times New Roman"/>
          <w:i/>
          <w:sz w:val="24"/>
          <w:szCs w:val="24"/>
        </w:rPr>
        <w:t xml:space="preserve"> 2013).</w:t>
      </w:r>
    </w:p>
    <w:p w:rsidR="00A25337" w:rsidRPr="00D602C8" w:rsidRDefault="00A25337" w:rsidP="00A25337">
      <w:pPr>
        <w:pStyle w:val="Textebrut"/>
        <w:ind w:left="1069"/>
        <w:jc w:val="both"/>
        <w:rPr>
          <w:szCs w:val="24"/>
        </w:rPr>
      </w:pPr>
    </w:p>
    <w:p w:rsidR="00A25337" w:rsidRDefault="00A25337" w:rsidP="00A25337">
      <w:pPr>
        <w:ind w:firstLine="708"/>
        <w:jc w:val="both"/>
        <w:rPr>
          <w:szCs w:val="24"/>
        </w:rPr>
      </w:pPr>
      <w:r>
        <w:rPr>
          <w:szCs w:val="24"/>
        </w:rPr>
        <w:t>Ainsi l’estimation de l’érosion sous-glaciaire grâce la charge des torrents sous-glaciaires nécessite d’étudier en amont la dynamique de transport des clastes par le glacier.</w:t>
      </w:r>
    </w:p>
    <w:p w:rsidR="00A25337" w:rsidRDefault="00A25337" w:rsidP="00A25337">
      <w:pPr>
        <w:ind w:firstLine="708"/>
        <w:jc w:val="both"/>
        <w:rPr>
          <w:b/>
          <w:szCs w:val="24"/>
        </w:rPr>
      </w:pPr>
      <w:r>
        <w:rPr>
          <w:szCs w:val="24"/>
        </w:rPr>
        <w:t>Outre la quantification respective des deux sources- sous ou supra glaciaire-, un contrôle potentiellement important de l’érosion sous-glaciaire sera également abordé </w:t>
      </w:r>
      <w:r w:rsidRPr="00153FE5">
        <w:rPr>
          <w:b/>
          <w:szCs w:val="24"/>
        </w:rPr>
        <w:t xml:space="preserve">: </w:t>
      </w:r>
    </w:p>
    <w:p w:rsidR="00A25337" w:rsidRPr="00D602C8" w:rsidRDefault="00A25337" w:rsidP="00A25337">
      <w:pPr>
        <w:jc w:val="both"/>
        <w:rPr>
          <w:szCs w:val="24"/>
        </w:rPr>
      </w:pPr>
      <w:r w:rsidRPr="00D602C8">
        <w:rPr>
          <w:szCs w:val="24"/>
        </w:rPr>
        <w:t>L’efficacité de l’érosion sous-glaciaire est-elle contrôlée par la quantité des clastes incorporés dans la glace basale, et dans ce cas, l’intensité de l’érosion sous-glaciaire est-elle finalement contrôlée par l’importance des processus de versant environnants ?</w:t>
      </w:r>
    </w:p>
    <w:p w:rsidR="00A25337" w:rsidRPr="00563A0D" w:rsidRDefault="00A25337" w:rsidP="00A25337">
      <w:pPr>
        <w:jc w:val="both"/>
        <w:rPr>
          <w:szCs w:val="24"/>
        </w:rPr>
      </w:pPr>
      <w:r w:rsidRPr="00D602C8">
        <w:rPr>
          <w:szCs w:val="24"/>
        </w:rPr>
        <w:t>Lorsque les clastes fournis par ces derniers processus alimentent le flux détritique à la base</w:t>
      </w:r>
      <w:r>
        <w:rPr>
          <w:szCs w:val="24"/>
        </w:rPr>
        <w:t xml:space="preserve"> du glacier, ils pourraient en effet contribuer à accroitre l’érosion basale du glacier. L’érosion </w:t>
      </w:r>
      <w:proofErr w:type="gramStart"/>
      <w:r>
        <w:rPr>
          <w:szCs w:val="24"/>
        </w:rPr>
        <w:t>des versant</w:t>
      </w:r>
      <w:proofErr w:type="gramEnd"/>
      <w:r>
        <w:rPr>
          <w:szCs w:val="24"/>
        </w:rPr>
        <w:t xml:space="preserve"> serait donc un processus montrant une </w:t>
      </w:r>
      <w:proofErr w:type="spellStart"/>
      <w:r>
        <w:rPr>
          <w:szCs w:val="24"/>
        </w:rPr>
        <w:t>retraction</w:t>
      </w:r>
      <w:proofErr w:type="spellEnd"/>
      <w:r>
        <w:rPr>
          <w:szCs w:val="24"/>
        </w:rPr>
        <w:t xml:space="preserve"> positive sur l’érosion glaciaire. </w:t>
      </w:r>
      <w:r w:rsidRPr="00563A0D">
        <w:rPr>
          <w:szCs w:val="24"/>
        </w:rPr>
        <w:t xml:space="preserve"> </w:t>
      </w:r>
    </w:p>
    <w:p w:rsidR="00A25337" w:rsidRPr="00563A0D" w:rsidRDefault="00A25337" w:rsidP="00A25337">
      <w:pPr>
        <w:jc w:val="both"/>
        <w:rPr>
          <w:szCs w:val="24"/>
        </w:rPr>
      </w:pPr>
    </w:p>
    <w:p w:rsidR="00A25337" w:rsidRDefault="00A25337" w:rsidP="00A25337">
      <w:pPr>
        <w:ind w:firstLine="491"/>
        <w:jc w:val="both"/>
        <w:rPr>
          <w:szCs w:val="24"/>
        </w:rPr>
      </w:pPr>
      <w:r>
        <w:rPr>
          <w:szCs w:val="24"/>
        </w:rPr>
        <w:t xml:space="preserve">On se propose d’utiliser les isotopes </w:t>
      </w:r>
      <w:proofErr w:type="spellStart"/>
      <w:r>
        <w:rPr>
          <w:szCs w:val="24"/>
        </w:rPr>
        <w:t>cosmogéniques</w:t>
      </w:r>
      <w:proofErr w:type="spellEnd"/>
      <w:r>
        <w:rPr>
          <w:szCs w:val="24"/>
        </w:rPr>
        <w:t xml:space="preserve"> du </w:t>
      </w:r>
      <w:proofErr w:type="spellStart"/>
      <w:r>
        <w:rPr>
          <w:szCs w:val="24"/>
        </w:rPr>
        <w:t>Berylium</w:t>
      </w:r>
      <w:proofErr w:type="spellEnd"/>
      <w:r>
        <w:rPr>
          <w:szCs w:val="24"/>
        </w:rPr>
        <w:t xml:space="preserve"> 10 Be pour répondre </w:t>
      </w:r>
      <w:proofErr w:type="spellStart"/>
      <w:r>
        <w:rPr>
          <w:szCs w:val="24"/>
        </w:rPr>
        <w:t>a</w:t>
      </w:r>
      <w:proofErr w:type="spellEnd"/>
      <w:r>
        <w:rPr>
          <w:szCs w:val="24"/>
        </w:rPr>
        <w:t xml:space="preserve"> cette question ; en effet :</w:t>
      </w:r>
    </w:p>
    <w:p w:rsidR="00A25337" w:rsidRDefault="00A25337" w:rsidP="00A25337">
      <w:pPr>
        <w:numPr>
          <w:ilvl w:val="0"/>
          <w:numId w:val="2"/>
        </w:numPr>
        <w:ind w:left="851"/>
        <w:jc w:val="both"/>
        <w:rPr>
          <w:rFonts w:ascii="Arial" w:hAnsi="Arial" w:cs="Arial"/>
          <w:sz w:val="20"/>
        </w:rPr>
      </w:pPr>
      <w:r>
        <w:rPr>
          <w:szCs w:val="24"/>
        </w:rPr>
        <w:t xml:space="preserve"> les sédiments issus de l’érosion sous glaciaire (</w:t>
      </w:r>
      <w:proofErr w:type="spellStart"/>
      <w:r>
        <w:rPr>
          <w:szCs w:val="24"/>
        </w:rPr>
        <w:t>Ft</w:t>
      </w:r>
      <w:proofErr w:type="spellEnd"/>
      <w:r>
        <w:rPr>
          <w:szCs w:val="24"/>
        </w:rPr>
        <w:t xml:space="preserve">, Fig. 2) sont protégés du rayonnement cosmique par l’épaisseur de la glace ; celle-ci ayant été présente depuis plusieurs dizaine de milliers d’années l’écrantage a perduré et l’érosion sous-glaciaire </w:t>
      </w:r>
      <w:r>
        <w:rPr>
          <w:szCs w:val="24"/>
        </w:rPr>
        <w:lastRenderedPageBreak/>
        <w:t xml:space="preserve">durant ces dizaines de milliers d’années a assuré plusieurs mètres d’érosion du substratum, l’amenant à des concentrations en isotopes </w:t>
      </w:r>
      <w:proofErr w:type="spellStart"/>
      <w:r>
        <w:rPr>
          <w:szCs w:val="24"/>
        </w:rPr>
        <w:t>cosmogéniques</w:t>
      </w:r>
      <w:proofErr w:type="spellEnd"/>
      <w:r>
        <w:rPr>
          <w:szCs w:val="24"/>
        </w:rPr>
        <w:t xml:space="preserve"> négligeables; ce point est détaillé dans un paragraphe plus loin) ;</w:t>
      </w:r>
    </w:p>
    <w:p w:rsidR="00A25337" w:rsidRPr="00BA7D84" w:rsidRDefault="00A25337" w:rsidP="00A25337">
      <w:pPr>
        <w:numPr>
          <w:ilvl w:val="0"/>
          <w:numId w:val="2"/>
        </w:numPr>
        <w:ind w:left="851"/>
        <w:jc w:val="both"/>
        <w:rPr>
          <w:rFonts w:ascii="Arial" w:hAnsi="Arial" w:cs="Arial"/>
          <w:sz w:val="20"/>
        </w:rPr>
      </w:pPr>
      <w:r w:rsidRPr="00BA7D84">
        <w:rPr>
          <w:szCs w:val="24"/>
        </w:rPr>
        <w:t>Les clastes déposés par les processus de versants sur les glaciers (</w:t>
      </w:r>
      <w:proofErr w:type="spellStart"/>
      <w:r w:rsidRPr="00BA7D84">
        <w:rPr>
          <w:szCs w:val="24"/>
        </w:rPr>
        <w:t>Fh</w:t>
      </w:r>
      <w:proofErr w:type="spellEnd"/>
      <w:r w:rsidRPr="00BA7D84">
        <w:rPr>
          <w:szCs w:val="24"/>
        </w:rPr>
        <w:t xml:space="preserve">, Fig. </w:t>
      </w:r>
      <w:r>
        <w:rPr>
          <w:szCs w:val="24"/>
        </w:rPr>
        <w:t>2</w:t>
      </w:r>
      <w:r w:rsidRPr="00BA7D84">
        <w:rPr>
          <w:szCs w:val="24"/>
        </w:rPr>
        <w:t>) ont été soumis aux rayonnements cosmiques et ont une concentration en 10Be non négligeables ; l’analyse statistique et/ou l’homogénéisation des poudres issus des échantillons permet d’estimer une valeur moyenne du taux d’érosion des versants surplombant le glacier (</w:t>
      </w:r>
      <w:r w:rsidRPr="00BA7D84">
        <w:rPr>
          <w:bCs/>
        </w:rPr>
        <w:t>Ward  and Anderson, 2011)</w:t>
      </w:r>
      <w:r>
        <w:rPr>
          <w:bCs/>
        </w:rPr>
        <w:t xml:space="preserve"> ; Cette utilisation des concentrations des sables en isotope </w:t>
      </w:r>
      <w:proofErr w:type="spellStart"/>
      <w:r>
        <w:rPr>
          <w:bCs/>
        </w:rPr>
        <w:t>cosmogénique</w:t>
      </w:r>
      <w:proofErr w:type="spellEnd"/>
      <w:r>
        <w:rPr>
          <w:bCs/>
        </w:rPr>
        <w:t xml:space="preserve"> pour estimer l’érosion moyennes de bassins versant </w:t>
      </w:r>
      <w:r w:rsidRPr="00EF1C73">
        <w:rPr>
          <w:bCs/>
          <w:szCs w:val="24"/>
        </w:rPr>
        <w:t>est déjà utilisée classiquement dans le cadre d</w:t>
      </w:r>
      <w:r>
        <w:rPr>
          <w:bCs/>
          <w:szCs w:val="24"/>
        </w:rPr>
        <w:t>e bassins versant de rivière (</w:t>
      </w:r>
      <w:proofErr w:type="spellStart"/>
      <w:r w:rsidRPr="00EF1C73">
        <w:rPr>
          <w:bCs/>
          <w:szCs w:val="24"/>
        </w:rPr>
        <w:t>e.</w:t>
      </w:r>
      <w:r>
        <w:rPr>
          <w:bCs/>
          <w:szCs w:val="24"/>
        </w:rPr>
        <w:t>g</w:t>
      </w:r>
      <w:proofErr w:type="spellEnd"/>
      <w:r>
        <w:rPr>
          <w:bCs/>
          <w:szCs w:val="24"/>
        </w:rPr>
        <w:t>.</w:t>
      </w:r>
      <w:r w:rsidRPr="00EF1C73">
        <w:rPr>
          <w:bCs/>
          <w:szCs w:val="24"/>
        </w:rPr>
        <w:t> </w:t>
      </w:r>
      <w:proofErr w:type="spellStart"/>
      <w:r w:rsidRPr="00EF1C73">
        <w:rPr>
          <w:bCs/>
          <w:szCs w:val="24"/>
        </w:rPr>
        <w:t>Delunel</w:t>
      </w:r>
      <w:proofErr w:type="spellEnd"/>
      <w:r w:rsidRPr="00EF1C73">
        <w:rPr>
          <w:bCs/>
          <w:szCs w:val="24"/>
        </w:rPr>
        <w:t xml:space="preserve"> et al.</w:t>
      </w:r>
      <w:r w:rsidRPr="00EF1C73">
        <w:rPr>
          <w:szCs w:val="24"/>
        </w:rPr>
        <w:t xml:space="preserve"> dont </w:t>
      </w:r>
      <w:proofErr w:type="spellStart"/>
      <w:r w:rsidRPr="00EF1C73">
        <w:rPr>
          <w:szCs w:val="24"/>
        </w:rPr>
        <w:t>Carcaillet</w:t>
      </w:r>
      <w:proofErr w:type="spellEnd"/>
      <w:r w:rsidRPr="00EF1C73">
        <w:rPr>
          <w:bCs/>
          <w:szCs w:val="24"/>
        </w:rPr>
        <w:t>, 2010) bien que des effets de tailles soient mis en évidence (</w:t>
      </w:r>
      <w:proofErr w:type="spellStart"/>
      <w:r w:rsidRPr="00EF1C73">
        <w:rPr>
          <w:szCs w:val="24"/>
        </w:rPr>
        <w:t>Aguilar</w:t>
      </w:r>
      <w:proofErr w:type="spellEnd"/>
      <w:r w:rsidRPr="00EF1C73">
        <w:rPr>
          <w:szCs w:val="24"/>
        </w:rPr>
        <w:t xml:space="preserve"> et al. </w:t>
      </w:r>
      <w:r>
        <w:rPr>
          <w:szCs w:val="24"/>
        </w:rPr>
        <w:t>d</w:t>
      </w:r>
      <w:r w:rsidRPr="00EF1C73">
        <w:rPr>
          <w:szCs w:val="24"/>
        </w:rPr>
        <w:t xml:space="preserve">ont </w:t>
      </w:r>
      <w:proofErr w:type="spellStart"/>
      <w:r w:rsidRPr="00EF1C73">
        <w:rPr>
          <w:szCs w:val="24"/>
        </w:rPr>
        <w:t>Vassallo</w:t>
      </w:r>
      <w:proofErr w:type="spellEnd"/>
      <w:r w:rsidRPr="00EF1C73">
        <w:rPr>
          <w:szCs w:val="24"/>
        </w:rPr>
        <w:t xml:space="preserve">, in </w:t>
      </w:r>
      <w:proofErr w:type="spellStart"/>
      <w:r w:rsidRPr="00EF1C73">
        <w:rPr>
          <w:szCs w:val="24"/>
        </w:rPr>
        <w:t>press</w:t>
      </w:r>
      <w:proofErr w:type="spellEnd"/>
      <w:r>
        <w:rPr>
          <w:sz w:val="20"/>
        </w:rPr>
        <w:t>).</w:t>
      </w:r>
    </w:p>
    <w:p w:rsidR="00A25337" w:rsidRPr="00944D8F" w:rsidRDefault="00A25337" w:rsidP="00A25337">
      <w:pPr>
        <w:numPr>
          <w:ilvl w:val="0"/>
          <w:numId w:val="2"/>
        </w:numPr>
        <w:jc w:val="both"/>
        <w:rPr>
          <w:rFonts w:ascii="Arial" w:hAnsi="Arial" w:cs="Arial"/>
          <w:sz w:val="20"/>
        </w:rPr>
      </w:pPr>
      <w:r>
        <w:rPr>
          <w:szCs w:val="24"/>
        </w:rPr>
        <w:t xml:space="preserve">Les clastes incorporés dans le glacier et atteignant la base sont soumis à une </w:t>
      </w:r>
      <w:proofErr w:type="spellStart"/>
      <w:r>
        <w:rPr>
          <w:szCs w:val="24"/>
        </w:rPr>
        <w:t>comminution</w:t>
      </w:r>
      <w:proofErr w:type="spellEnd"/>
      <w:r>
        <w:rPr>
          <w:szCs w:val="24"/>
        </w:rPr>
        <w:t xml:space="preserve"> très rapide favorisant une homogénéisation des concentrations dans les fractions fines sous-glaciaires, en particulier dans les échantillons de sable ; </w:t>
      </w:r>
    </w:p>
    <w:p w:rsidR="00A25337" w:rsidRPr="00D15DD9" w:rsidRDefault="00A25337" w:rsidP="00A25337">
      <w:pPr>
        <w:numPr>
          <w:ilvl w:val="0"/>
          <w:numId w:val="2"/>
        </w:numPr>
        <w:jc w:val="both"/>
        <w:rPr>
          <w:rFonts w:ascii="Arial" w:hAnsi="Arial" w:cs="Arial"/>
          <w:sz w:val="20"/>
        </w:rPr>
      </w:pPr>
      <w:r>
        <w:rPr>
          <w:szCs w:val="24"/>
        </w:rPr>
        <w:t xml:space="preserve"> En fonction de l’apport respectif de chaque source, la concentration en isotope </w:t>
      </w:r>
      <w:proofErr w:type="spellStart"/>
      <w:r>
        <w:rPr>
          <w:szCs w:val="24"/>
        </w:rPr>
        <w:t>cosmogénique</w:t>
      </w:r>
      <w:proofErr w:type="spellEnd"/>
      <w:r>
        <w:rPr>
          <w:szCs w:val="24"/>
        </w:rPr>
        <w:t xml:space="preserve"> des effluents sous-glaciaires résulte d’une  dilution  de la production  issue de l’exposition des versants par des sédiments non exposés provenant de l’érosion sous-glaciaire.</w:t>
      </w:r>
    </w:p>
    <w:p w:rsidR="00A25337" w:rsidRDefault="00A25337" w:rsidP="00A25337">
      <w:pPr>
        <w:rPr>
          <w:szCs w:val="24"/>
        </w:rPr>
      </w:pPr>
    </w:p>
    <w:p w:rsidR="00A25337" w:rsidRPr="00EC2F48" w:rsidRDefault="00A25337" w:rsidP="00A25337">
      <w:pPr>
        <w:pStyle w:val="Textebrut"/>
        <w:ind w:firstLine="709"/>
        <w:jc w:val="both"/>
        <w:rPr>
          <w:rFonts w:ascii="Times New Roman" w:hAnsi="Times New Roman" w:cs="Times New Roman"/>
          <w:sz w:val="24"/>
          <w:szCs w:val="24"/>
        </w:rPr>
      </w:pPr>
      <w:r>
        <w:rPr>
          <w:rFonts w:ascii="Times New Roman" w:hAnsi="Times New Roman" w:cs="Times New Roman"/>
          <w:sz w:val="24"/>
          <w:szCs w:val="24"/>
        </w:rPr>
        <w:t>L</w:t>
      </w:r>
      <w:r w:rsidRPr="003640CF">
        <w:rPr>
          <w:rFonts w:ascii="Times New Roman" w:hAnsi="Times New Roman" w:cs="Times New Roman"/>
          <w:sz w:val="24"/>
          <w:szCs w:val="24"/>
        </w:rPr>
        <w:t xml:space="preserve">a mesure de la concentration de Be10 du substratum </w:t>
      </w:r>
      <w:r>
        <w:rPr>
          <w:rFonts w:ascii="Times New Roman" w:hAnsi="Times New Roman" w:cs="Times New Roman"/>
          <w:sz w:val="24"/>
          <w:szCs w:val="24"/>
        </w:rPr>
        <w:t xml:space="preserve">directement </w:t>
      </w:r>
      <w:r w:rsidRPr="003640CF">
        <w:rPr>
          <w:rFonts w:ascii="Times New Roman" w:hAnsi="Times New Roman" w:cs="Times New Roman"/>
          <w:sz w:val="24"/>
          <w:szCs w:val="24"/>
        </w:rPr>
        <w:t>sous le glacier n'est pas possible, mais les considérations suivantes peuvent être prises en compte (</w:t>
      </w:r>
      <w:proofErr w:type="spellStart"/>
      <w:r w:rsidRPr="003640CF">
        <w:rPr>
          <w:rFonts w:ascii="Times New Roman" w:hAnsi="Times New Roman" w:cs="Times New Roman"/>
          <w:sz w:val="24"/>
          <w:szCs w:val="24"/>
        </w:rPr>
        <w:t>Goehring</w:t>
      </w:r>
      <w:proofErr w:type="spellEnd"/>
      <w:r w:rsidRPr="003640CF">
        <w:rPr>
          <w:rFonts w:ascii="Times New Roman" w:hAnsi="Times New Roman" w:cs="Times New Roman"/>
          <w:sz w:val="24"/>
          <w:szCs w:val="24"/>
        </w:rPr>
        <w:t xml:space="preserve"> et </w:t>
      </w:r>
      <w:proofErr w:type="gramStart"/>
      <w:r w:rsidRPr="003640CF">
        <w:rPr>
          <w:rFonts w:ascii="Times New Roman" w:hAnsi="Times New Roman" w:cs="Times New Roman"/>
          <w:sz w:val="24"/>
          <w:szCs w:val="24"/>
        </w:rPr>
        <w:t>al.,</w:t>
      </w:r>
      <w:proofErr w:type="gramEnd"/>
      <w:r w:rsidRPr="003640CF">
        <w:rPr>
          <w:rFonts w:ascii="Times New Roman" w:hAnsi="Times New Roman" w:cs="Times New Roman"/>
          <w:sz w:val="24"/>
          <w:szCs w:val="24"/>
        </w:rPr>
        <w:t xml:space="preserve"> 2012)</w:t>
      </w:r>
      <w:r>
        <w:rPr>
          <w:rFonts w:ascii="Times New Roman" w:hAnsi="Times New Roman" w:cs="Times New Roman"/>
          <w:sz w:val="24"/>
          <w:szCs w:val="24"/>
        </w:rPr>
        <w:t xml:space="preserve"> </w:t>
      </w:r>
      <w:r w:rsidRPr="003640CF">
        <w:rPr>
          <w:rFonts w:ascii="Times New Roman" w:hAnsi="Times New Roman" w:cs="Times New Roman"/>
          <w:sz w:val="24"/>
          <w:szCs w:val="24"/>
        </w:rPr>
        <w:t xml:space="preserve">: 1) </w:t>
      </w:r>
      <w:r>
        <w:rPr>
          <w:rFonts w:ascii="Times New Roman" w:hAnsi="Times New Roman" w:cs="Times New Roman"/>
          <w:sz w:val="24"/>
          <w:szCs w:val="24"/>
        </w:rPr>
        <w:t>La production de deux 10Be est dominée par des réactions de spallation, qui sont fortement atténuées dans les matériaux de la surface terrestre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roche, glace) ; la production est presque nulle sous 30 m de glace. Un mécanisme de production secondaire est cependant lié aux interactions entre muons. Ces réactions ont une beaucoup plus grande profondeur de pénétration, et des nuclides sont produits même sous le couvert de glace ; Cependant, parce que la fraction des muons dans le spectre des rayons cosmiques est si petite, la production de 10Be par muons n'est pas assez grande pour affecter les résultats (voir </w:t>
      </w:r>
      <w:proofErr w:type="spellStart"/>
      <w:r>
        <w:rPr>
          <w:rFonts w:ascii="Times New Roman" w:hAnsi="Times New Roman" w:cs="Times New Roman"/>
          <w:sz w:val="24"/>
          <w:szCs w:val="24"/>
        </w:rPr>
        <w:t>Goehring</w:t>
      </w:r>
      <w:proofErr w:type="spellEnd"/>
      <w:r>
        <w:rPr>
          <w:rFonts w:ascii="Times New Roman" w:hAnsi="Times New Roman" w:cs="Times New Roman"/>
          <w:sz w:val="24"/>
          <w:szCs w:val="24"/>
        </w:rPr>
        <w:t xml:space="preserve"> et al., 2011)</w:t>
      </w:r>
      <w:r w:rsidRPr="003640CF">
        <w:rPr>
          <w:rFonts w:ascii="Times New Roman" w:hAnsi="Times New Roman" w:cs="Times New Roman"/>
          <w:sz w:val="24"/>
          <w:szCs w:val="24"/>
        </w:rPr>
        <w:t xml:space="preserve">; 2) aucune production </w:t>
      </w:r>
      <w:proofErr w:type="spellStart"/>
      <w:r w:rsidRPr="003640CF">
        <w:rPr>
          <w:rFonts w:ascii="Times New Roman" w:hAnsi="Times New Roman" w:cs="Times New Roman"/>
          <w:sz w:val="24"/>
          <w:szCs w:val="24"/>
        </w:rPr>
        <w:t>pre</w:t>
      </w:r>
      <w:proofErr w:type="spellEnd"/>
      <w:r w:rsidRPr="003640CF">
        <w:rPr>
          <w:rFonts w:ascii="Times New Roman" w:hAnsi="Times New Roman" w:cs="Times New Roman"/>
          <w:sz w:val="24"/>
          <w:szCs w:val="24"/>
        </w:rPr>
        <w:t>-</w:t>
      </w:r>
      <w:r>
        <w:rPr>
          <w:rFonts w:ascii="Times New Roman" w:hAnsi="Times New Roman" w:cs="Times New Roman"/>
          <w:sz w:val="24"/>
          <w:szCs w:val="24"/>
        </w:rPr>
        <w:t>LGM</w:t>
      </w:r>
      <w:r w:rsidRPr="003640CF">
        <w:rPr>
          <w:rFonts w:ascii="Times New Roman" w:hAnsi="Times New Roman" w:cs="Times New Roman"/>
          <w:sz w:val="24"/>
          <w:szCs w:val="24"/>
        </w:rPr>
        <w:t xml:space="preserve"> n’est conservée, sauf si l'érosion glaciaire au cours de ce dernier événement glaciaire serait inférieure à 0,02 mm/an – une valeur trop faible pour être envisagée-; 3) bien que le glacier des Bossons est actuellement affecté par un retrait rapide (Nussbaumer et </w:t>
      </w:r>
      <w:proofErr w:type="spellStart"/>
      <w:r w:rsidRPr="003640CF">
        <w:rPr>
          <w:rFonts w:ascii="Times New Roman" w:hAnsi="Times New Roman" w:cs="Times New Roman"/>
          <w:sz w:val="24"/>
          <w:szCs w:val="24"/>
        </w:rPr>
        <w:t>Zumbühl</w:t>
      </w:r>
      <w:proofErr w:type="spellEnd"/>
      <w:r w:rsidRPr="003640CF">
        <w:rPr>
          <w:rFonts w:ascii="Times New Roman" w:hAnsi="Times New Roman" w:cs="Times New Roman"/>
          <w:sz w:val="24"/>
          <w:szCs w:val="24"/>
        </w:rPr>
        <w:t xml:space="preserve">, 2012), pour la partie inférieure, </w:t>
      </w:r>
      <w:r>
        <w:rPr>
          <w:rFonts w:ascii="Times New Roman" w:hAnsi="Times New Roman" w:cs="Times New Roman"/>
          <w:sz w:val="24"/>
          <w:szCs w:val="24"/>
        </w:rPr>
        <w:t xml:space="preserve">une </w:t>
      </w:r>
      <w:r w:rsidRPr="003640CF">
        <w:rPr>
          <w:rFonts w:ascii="Times New Roman" w:hAnsi="Times New Roman" w:cs="Times New Roman"/>
          <w:sz w:val="24"/>
          <w:szCs w:val="24"/>
        </w:rPr>
        <w:t xml:space="preserve">durée d'exposition ne peut être exclue pendant les optimums climatiques </w:t>
      </w:r>
      <w:r>
        <w:rPr>
          <w:rFonts w:ascii="Times New Roman" w:hAnsi="Times New Roman" w:cs="Times New Roman"/>
          <w:sz w:val="24"/>
          <w:szCs w:val="24"/>
        </w:rPr>
        <w:t xml:space="preserve">holocènes </w:t>
      </w:r>
      <w:r w:rsidRPr="003640CF">
        <w:rPr>
          <w:rFonts w:ascii="Times New Roman" w:hAnsi="Times New Roman" w:cs="Times New Roman"/>
          <w:sz w:val="24"/>
          <w:szCs w:val="24"/>
        </w:rPr>
        <w:t xml:space="preserve">qui postdatent le </w:t>
      </w:r>
      <w:r>
        <w:rPr>
          <w:rFonts w:ascii="Times New Roman" w:hAnsi="Times New Roman" w:cs="Times New Roman"/>
          <w:sz w:val="24"/>
          <w:szCs w:val="24"/>
        </w:rPr>
        <w:t>LGM</w:t>
      </w:r>
      <w:r w:rsidRPr="003640CF">
        <w:rPr>
          <w:rFonts w:ascii="Times New Roman" w:hAnsi="Times New Roman" w:cs="Times New Roman"/>
          <w:sz w:val="24"/>
          <w:szCs w:val="24"/>
        </w:rPr>
        <w:t xml:space="preserve">, </w:t>
      </w:r>
      <w:r>
        <w:rPr>
          <w:rFonts w:ascii="Times New Roman" w:hAnsi="Times New Roman" w:cs="Times New Roman"/>
          <w:sz w:val="24"/>
          <w:szCs w:val="24"/>
        </w:rPr>
        <w:t>ce qui a été mis en évidence sur</w:t>
      </w:r>
      <w:r w:rsidRPr="003640CF">
        <w:rPr>
          <w:rFonts w:ascii="Times New Roman" w:hAnsi="Times New Roman" w:cs="Times New Roman"/>
          <w:sz w:val="24"/>
          <w:szCs w:val="24"/>
        </w:rPr>
        <w:t xml:space="preserve"> </w:t>
      </w:r>
      <w:r>
        <w:rPr>
          <w:rFonts w:ascii="Times New Roman" w:hAnsi="Times New Roman" w:cs="Times New Roman"/>
          <w:sz w:val="24"/>
          <w:szCs w:val="24"/>
        </w:rPr>
        <w:t>certains</w:t>
      </w:r>
      <w:r w:rsidRPr="003640CF">
        <w:rPr>
          <w:rFonts w:ascii="Times New Roman" w:hAnsi="Times New Roman" w:cs="Times New Roman"/>
          <w:sz w:val="24"/>
          <w:szCs w:val="24"/>
        </w:rPr>
        <w:t xml:space="preserve"> glaciers suisses (</w:t>
      </w:r>
      <w:proofErr w:type="spellStart"/>
      <w:r w:rsidRPr="003640CF">
        <w:rPr>
          <w:rFonts w:ascii="Times New Roman" w:hAnsi="Times New Roman" w:cs="Times New Roman"/>
          <w:sz w:val="24"/>
          <w:szCs w:val="24"/>
        </w:rPr>
        <w:t>e.g</w:t>
      </w:r>
      <w:proofErr w:type="spellEnd"/>
      <w:r w:rsidRPr="003640CF">
        <w:rPr>
          <w:rFonts w:ascii="Times New Roman" w:hAnsi="Times New Roman" w:cs="Times New Roman"/>
          <w:sz w:val="24"/>
          <w:szCs w:val="24"/>
        </w:rPr>
        <w:t xml:space="preserve">. </w:t>
      </w:r>
      <w:proofErr w:type="spellStart"/>
      <w:r w:rsidRPr="003640CF">
        <w:rPr>
          <w:rFonts w:ascii="Times New Roman" w:hAnsi="Times New Roman" w:cs="Times New Roman"/>
          <w:sz w:val="24"/>
          <w:szCs w:val="24"/>
        </w:rPr>
        <w:t>Holzhauser</w:t>
      </w:r>
      <w:proofErr w:type="spellEnd"/>
      <w:r w:rsidRPr="003640CF">
        <w:rPr>
          <w:rFonts w:ascii="Times New Roman" w:hAnsi="Times New Roman" w:cs="Times New Roman"/>
          <w:sz w:val="24"/>
          <w:szCs w:val="24"/>
        </w:rPr>
        <w:t xml:space="preserve"> et al., 2005). Toutefois, la durée d'exposition devrait être courte et seule une petite partie du substratum du glacier actuel </w:t>
      </w:r>
      <w:r>
        <w:rPr>
          <w:rFonts w:ascii="Times New Roman" w:hAnsi="Times New Roman" w:cs="Times New Roman"/>
          <w:sz w:val="24"/>
          <w:szCs w:val="24"/>
        </w:rPr>
        <w:t>pourrait</w:t>
      </w:r>
      <w:r w:rsidRPr="003640CF">
        <w:rPr>
          <w:rFonts w:ascii="Times New Roman" w:hAnsi="Times New Roman" w:cs="Times New Roman"/>
          <w:sz w:val="24"/>
          <w:szCs w:val="24"/>
        </w:rPr>
        <w:t xml:space="preserve"> avoir été exposée. Un </w:t>
      </w:r>
      <w:r>
        <w:rPr>
          <w:rFonts w:ascii="Times New Roman" w:hAnsi="Times New Roman" w:cs="Times New Roman"/>
          <w:sz w:val="24"/>
          <w:szCs w:val="24"/>
        </w:rPr>
        <w:t xml:space="preserve">analyse </w:t>
      </w:r>
      <w:r w:rsidRPr="003640CF">
        <w:rPr>
          <w:rFonts w:ascii="Times New Roman" w:hAnsi="Times New Roman" w:cs="Times New Roman"/>
          <w:sz w:val="24"/>
          <w:szCs w:val="24"/>
        </w:rPr>
        <w:t>préliminaire</w:t>
      </w:r>
      <w:r>
        <w:rPr>
          <w:rFonts w:ascii="Times New Roman" w:hAnsi="Times New Roman" w:cs="Times New Roman"/>
          <w:sz w:val="24"/>
          <w:szCs w:val="24"/>
        </w:rPr>
        <w:t xml:space="preserve"> d’un échantillon </w:t>
      </w:r>
      <w:r w:rsidRPr="003640CF">
        <w:rPr>
          <w:rFonts w:ascii="Times New Roman" w:hAnsi="Times New Roman" w:cs="Times New Roman"/>
          <w:sz w:val="24"/>
          <w:szCs w:val="24"/>
        </w:rPr>
        <w:t xml:space="preserve">(Guillon et </w:t>
      </w:r>
      <w:proofErr w:type="gramStart"/>
      <w:r w:rsidRPr="003640CF">
        <w:rPr>
          <w:rFonts w:ascii="Times New Roman" w:hAnsi="Times New Roman" w:cs="Times New Roman"/>
          <w:sz w:val="24"/>
          <w:szCs w:val="24"/>
        </w:rPr>
        <w:t>al.,</w:t>
      </w:r>
      <w:proofErr w:type="gramEnd"/>
      <w:r w:rsidRPr="003640CF">
        <w:rPr>
          <w:rFonts w:ascii="Times New Roman" w:hAnsi="Times New Roman" w:cs="Times New Roman"/>
          <w:sz w:val="24"/>
          <w:szCs w:val="24"/>
        </w:rPr>
        <w:t xml:space="preserve"> 2013) montre que la concentration en 10Be des sédiments du torrent de </w:t>
      </w:r>
      <w:proofErr w:type="spellStart"/>
      <w:r w:rsidRPr="003640CF">
        <w:rPr>
          <w:rFonts w:ascii="Times New Roman" w:hAnsi="Times New Roman" w:cs="Times New Roman"/>
          <w:sz w:val="24"/>
          <w:szCs w:val="24"/>
        </w:rPr>
        <w:t>Crosette</w:t>
      </w:r>
      <w:proofErr w:type="spellEnd"/>
      <w:r>
        <w:rPr>
          <w:rFonts w:ascii="Times New Roman" w:hAnsi="Times New Roman" w:cs="Times New Roman"/>
          <w:sz w:val="24"/>
          <w:szCs w:val="24"/>
        </w:rPr>
        <w:t>, dont l’analyse des sources a montré une provenance purement sous-glaciaire (Godon et al., 2013)</w:t>
      </w:r>
      <w:r w:rsidRPr="003640CF">
        <w:rPr>
          <w:rFonts w:ascii="Times New Roman" w:hAnsi="Times New Roman" w:cs="Times New Roman"/>
          <w:sz w:val="24"/>
          <w:szCs w:val="24"/>
        </w:rPr>
        <w:t xml:space="preserve"> est proche de la valeur d</w:t>
      </w:r>
      <w:r>
        <w:rPr>
          <w:rFonts w:ascii="Times New Roman" w:hAnsi="Times New Roman" w:cs="Times New Roman"/>
          <w:sz w:val="24"/>
          <w:szCs w:val="24"/>
        </w:rPr>
        <w:t>’</w:t>
      </w:r>
      <w:r w:rsidRPr="003640CF">
        <w:rPr>
          <w:rFonts w:ascii="Times New Roman" w:hAnsi="Times New Roman" w:cs="Times New Roman"/>
          <w:sz w:val="24"/>
          <w:szCs w:val="24"/>
        </w:rPr>
        <w:t>u</w:t>
      </w:r>
      <w:r>
        <w:rPr>
          <w:rFonts w:ascii="Times New Roman" w:hAnsi="Times New Roman" w:cs="Times New Roman"/>
          <w:sz w:val="24"/>
          <w:szCs w:val="24"/>
        </w:rPr>
        <w:t>n</w:t>
      </w:r>
      <w:r w:rsidRPr="003640CF">
        <w:rPr>
          <w:rFonts w:ascii="Times New Roman" w:hAnsi="Times New Roman" w:cs="Times New Roman"/>
          <w:sz w:val="24"/>
          <w:szCs w:val="24"/>
        </w:rPr>
        <w:t xml:space="preserve"> blanc analytique et confirme</w:t>
      </w:r>
      <w:r>
        <w:rPr>
          <w:rFonts w:ascii="Times New Roman" w:hAnsi="Times New Roman" w:cs="Times New Roman"/>
          <w:sz w:val="24"/>
          <w:szCs w:val="24"/>
        </w:rPr>
        <w:t>rai</w:t>
      </w:r>
      <w:r w:rsidRPr="003640CF">
        <w:rPr>
          <w:rFonts w:ascii="Times New Roman" w:hAnsi="Times New Roman" w:cs="Times New Roman"/>
          <w:sz w:val="24"/>
          <w:szCs w:val="24"/>
        </w:rPr>
        <w:t xml:space="preserve"> cette interprétation.</w:t>
      </w:r>
    </w:p>
    <w:p w:rsidR="00A25337" w:rsidRPr="003640CF" w:rsidRDefault="00A25337" w:rsidP="00A25337">
      <w:pPr>
        <w:rPr>
          <w:szCs w:val="24"/>
        </w:rPr>
      </w:pPr>
    </w:p>
    <w:p w:rsidR="00A25337" w:rsidRPr="00FB3372" w:rsidRDefault="00A25337" w:rsidP="00A25337">
      <w:pPr>
        <w:rPr>
          <w:rFonts w:ascii="Arial" w:hAnsi="Arial" w:cs="Arial"/>
          <w:sz w:val="20"/>
        </w:rPr>
      </w:pPr>
      <w:r>
        <w:rPr>
          <w:szCs w:val="24"/>
        </w:rPr>
        <w:t xml:space="preserve">   </w:t>
      </w:r>
    </w:p>
    <w:p w:rsidR="00A25337" w:rsidRDefault="00A25337" w:rsidP="00A25337">
      <w:pPr>
        <w:pStyle w:val="Textebrut"/>
        <w:ind w:firstLine="709"/>
        <w:jc w:val="both"/>
        <w:rPr>
          <w:rFonts w:ascii="Times New Roman" w:hAnsi="Times New Roman" w:cs="Times New Roman"/>
          <w:sz w:val="24"/>
          <w:szCs w:val="24"/>
        </w:rPr>
      </w:pPr>
    </w:p>
    <w:p w:rsidR="00A25337" w:rsidRPr="00854D62" w:rsidRDefault="00A25337" w:rsidP="00A25337">
      <w:pPr>
        <w:pStyle w:val="Textebrut"/>
        <w:ind w:firstLine="709"/>
        <w:jc w:val="both"/>
        <w:rPr>
          <w:rStyle w:val="author"/>
          <w:rFonts w:ascii="Times New Roman" w:hAnsi="Times New Roman" w:cs="Times New Roman"/>
          <w:i/>
          <w:iCs/>
          <w:lang w:val="en-US"/>
        </w:rPr>
      </w:pPr>
      <w:r w:rsidRPr="00854D62">
        <w:rPr>
          <w:rFonts w:ascii="Times New Roman" w:hAnsi="Times New Roman" w:cs="Times New Roman"/>
          <w:lang w:val="en-US"/>
        </w:rPr>
        <w:t xml:space="preserve">Brent M. </w:t>
      </w:r>
      <w:proofErr w:type="spellStart"/>
      <w:r w:rsidRPr="00854D62">
        <w:rPr>
          <w:rFonts w:ascii="Times New Roman" w:hAnsi="Times New Roman" w:cs="Times New Roman"/>
          <w:lang w:val="en-US"/>
        </w:rPr>
        <w:t>Goehring</w:t>
      </w:r>
      <w:proofErr w:type="spellEnd"/>
      <w:r w:rsidRPr="00854D62">
        <w:rPr>
          <w:rFonts w:ascii="Times New Roman" w:hAnsi="Times New Roman" w:cs="Times New Roman"/>
          <w:lang w:val="en-US"/>
        </w:rPr>
        <w:t xml:space="preserve">, David A. </w:t>
      </w:r>
      <w:proofErr w:type="spellStart"/>
      <w:r w:rsidRPr="00854D62">
        <w:rPr>
          <w:rFonts w:ascii="Times New Roman" w:hAnsi="Times New Roman" w:cs="Times New Roman"/>
          <w:lang w:val="en-US"/>
        </w:rPr>
        <w:t>Vacco</w:t>
      </w:r>
      <w:proofErr w:type="spellEnd"/>
      <w:r w:rsidRPr="00854D62">
        <w:rPr>
          <w:rFonts w:ascii="Times New Roman" w:hAnsi="Times New Roman" w:cs="Times New Roman"/>
          <w:lang w:val="en-US"/>
        </w:rPr>
        <w:t xml:space="preserve">, Richard B. Alley, </w:t>
      </w:r>
      <w:proofErr w:type="spellStart"/>
      <w:r w:rsidRPr="00854D62">
        <w:rPr>
          <w:rFonts w:ascii="Times New Roman" w:hAnsi="Times New Roman" w:cs="Times New Roman"/>
          <w:lang w:val="en-US"/>
        </w:rPr>
        <w:t>Joerg</w:t>
      </w:r>
      <w:proofErr w:type="spellEnd"/>
      <w:r w:rsidRPr="00854D62">
        <w:rPr>
          <w:rFonts w:ascii="Times New Roman" w:hAnsi="Times New Roman" w:cs="Times New Roman"/>
          <w:lang w:val="en-US"/>
        </w:rPr>
        <w:t xml:space="preserve"> M. Schaefer, Holocene dynamics of the Rhone Glacier, Switzerland, deduced from ice flow models and </w:t>
      </w:r>
      <w:proofErr w:type="spellStart"/>
      <w:r w:rsidRPr="00854D62">
        <w:rPr>
          <w:rFonts w:ascii="Times New Roman" w:hAnsi="Times New Roman" w:cs="Times New Roman"/>
          <w:lang w:val="en-US"/>
        </w:rPr>
        <w:t>cosmogenic</w:t>
      </w:r>
      <w:proofErr w:type="spellEnd"/>
      <w:r w:rsidRPr="00854D62">
        <w:rPr>
          <w:rFonts w:ascii="Times New Roman" w:hAnsi="Times New Roman" w:cs="Times New Roman"/>
          <w:lang w:val="en-US"/>
        </w:rPr>
        <w:t xml:space="preserve"> nuclides, Earth and Planetary Science Letters, 2012, 351-352, 27</w:t>
      </w:r>
      <w:r w:rsidRPr="00854D62">
        <w:rPr>
          <w:rStyle w:val="author"/>
          <w:rFonts w:ascii="Times New Roman" w:hAnsi="Times New Roman" w:cs="Times New Roman"/>
          <w:i/>
          <w:iCs/>
          <w:lang w:val="en-US"/>
        </w:rPr>
        <w:t xml:space="preserve"> </w:t>
      </w:r>
    </w:p>
    <w:p w:rsidR="00A25337" w:rsidRPr="00854D62" w:rsidRDefault="00A25337" w:rsidP="00A25337">
      <w:pPr>
        <w:pStyle w:val="Textebrut"/>
        <w:ind w:firstLine="709"/>
        <w:jc w:val="both"/>
        <w:rPr>
          <w:rFonts w:ascii="Times New Roman" w:hAnsi="Times New Roman" w:cs="Times New Roman"/>
          <w:lang w:val="en-US"/>
        </w:rPr>
      </w:pPr>
      <w:proofErr w:type="spellStart"/>
      <w:r w:rsidRPr="00854D62">
        <w:rPr>
          <w:rFonts w:ascii="Times New Roman" w:hAnsi="Times New Roman" w:cs="Times New Roman"/>
          <w:lang w:val="en-US"/>
        </w:rPr>
        <w:t>Romain</w:t>
      </w:r>
      <w:proofErr w:type="spellEnd"/>
      <w:r w:rsidRPr="00854D62">
        <w:rPr>
          <w:rFonts w:ascii="Times New Roman" w:hAnsi="Times New Roman" w:cs="Times New Roman"/>
          <w:lang w:val="en-US"/>
        </w:rPr>
        <w:t xml:space="preserve"> </w:t>
      </w:r>
      <w:proofErr w:type="spellStart"/>
      <w:r w:rsidRPr="00854D62">
        <w:rPr>
          <w:rFonts w:ascii="Times New Roman" w:hAnsi="Times New Roman" w:cs="Times New Roman"/>
          <w:lang w:val="en-US"/>
        </w:rPr>
        <w:t>Delunel</w:t>
      </w:r>
      <w:proofErr w:type="spellEnd"/>
      <w:r w:rsidRPr="00854D62">
        <w:rPr>
          <w:rFonts w:ascii="Times New Roman" w:hAnsi="Times New Roman" w:cs="Times New Roman"/>
          <w:lang w:val="en-US"/>
        </w:rPr>
        <w:t xml:space="preserve">, Peter A. van der </w:t>
      </w:r>
      <w:proofErr w:type="spellStart"/>
      <w:r w:rsidRPr="00854D62">
        <w:rPr>
          <w:rFonts w:ascii="Times New Roman" w:hAnsi="Times New Roman" w:cs="Times New Roman"/>
          <w:lang w:val="en-US"/>
        </w:rPr>
        <w:t>Beek</w:t>
      </w:r>
      <w:proofErr w:type="spellEnd"/>
      <w:r w:rsidRPr="00854D62">
        <w:rPr>
          <w:rFonts w:ascii="Times New Roman" w:hAnsi="Times New Roman" w:cs="Times New Roman"/>
          <w:lang w:val="en-US"/>
        </w:rPr>
        <w:t xml:space="preserve">, Julien </w:t>
      </w:r>
      <w:proofErr w:type="spellStart"/>
      <w:r w:rsidRPr="00854D62">
        <w:rPr>
          <w:rFonts w:ascii="Times New Roman" w:hAnsi="Times New Roman" w:cs="Times New Roman"/>
          <w:b/>
          <w:lang w:val="en-US"/>
        </w:rPr>
        <w:t>Carcaillet</w:t>
      </w:r>
      <w:proofErr w:type="spellEnd"/>
      <w:r w:rsidRPr="00854D62">
        <w:rPr>
          <w:rFonts w:ascii="Times New Roman" w:hAnsi="Times New Roman" w:cs="Times New Roman"/>
          <w:lang w:val="en-US"/>
        </w:rPr>
        <w:t xml:space="preserve">, Didier L. </w:t>
      </w:r>
      <w:proofErr w:type="spellStart"/>
      <w:r w:rsidRPr="00854D62">
        <w:rPr>
          <w:rFonts w:ascii="Times New Roman" w:hAnsi="Times New Roman" w:cs="Times New Roman"/>
          <w:lang w:val="en-US"/>
        </w:rPr>
        <w:t>Bourlès</w:t>
      </w:r>
      <w:proofErr w:type="spellEnd"/>
      <w:r w:rsidRPr="00854D62">
        <w:rPr>
          <w:rFonts w:ascii="Times New Roman" w:hAnsi="Times New Roman" w:cs="Times New Roman"/>
          <w:lang w:val="en-US"/>
        </w:rPr>
        <w:t>, Pierre G. Valla , 2010, Frost-cracking control on catchment denudation rates: Insights from in situ produced 10Be concentrations in stream sediments (</w:t>
      </w:r>
      <w:proofErr w:type="spellStart"/>
      <w:r w:rsidRPr="00854D62">
        <w:rPr>
          <w:rFonts w:ascii="Times New Roman" w:hAnsi="Times New Roman" w:cs="Times New Roman"/>
          <w:lang w:val="en-US"/>
        </w:rPr>
        <w:t>Ecrins</w:t>
      </w:r>
      <w:proofErr w:type="spellEnd"/>
      <w:r w:rsidRPr="00854D62">
        <w:rPr>
          <w:rFonts w:ascii="Times New Roman" w:hAnsi="Times New Roman" w:cs="Times New Roman"/>
          <w:lang w:val="en-US"/>
        </w:rPr>
        <w:t>–</w:t>
      </w:r>
      <w:proofErr w:type="spellStart"/>
      <w:r w:rsidRPr="00854D62">
        <w:rPr>
          <w:rFonts w:ascii="Times New Roman" w:hAnsi="Times New Roman" w:cs="Times New Roman"/>
          <w:lang w:val="en-US"/>
        </w:rPr>
        <w:t>Pelvoux</w:t>
      </w:r>
      <w:proofErr w:type="spellEnd"/>
      <w:r w:rsidRPr="00854D62">
        <w:rPr>
          <w:rFonts w:ascii="Times New Roman" w:hAnsi="Times New Roman" w:cs="Times New Roman"/>
          <w:lang w:val="en-US"/>
        </w:rPr>
        <w:t xml:space="preserve"> massif, French Western Alps)  Earth and Planetary Science Letters, Volume 293, Issues 1–2, 15 April 2010, Pages 72-83</w:t>
      </w:r>
    </w:p>
    <w:p w:rsidR="00A25337" w:rsidRPr="00854D62" w:rsidRDefault="00A25337" w:rsidP="00A25337">
      <w:pPr>
        <w:pStyle w:val="Textebrut"/>
        <w:ind w:firstLine="709"/>
        <w:jc w:val="both"/>
        <w:rPr>
          <w:rFonts w:ascii="Times New Roman" w:hAnsi="Times New Roman" w:cs="Times New Roman"/>
        </w:rPr>
      </w:pPr>
      <w:proofErr w:type="spellStart"/>
      <w:r w:rsidRPr="00854D62">
        <w:rPr>
          <w:rFonts w:ascii="Times New Roman" w:hAnsi="Times New Roman" w:cs="Times New Roman"/>
          <w:lang w:val="en-US"/>
        </w:rPr>
        <w:lastRenderedPageBreak/>
        <w:t>Godon</w:t>
      </w:r>
      <w:proofErr w:type="spellEnd"/>
      <w:r w:rsidRPr="00854D62">
        <w:rPr>
          <w:rFonts w:ascii="Times New Roman" w:hAnsi="Times New Roman" w:cs="Times New Roman"/>
          <w:lang w:val="en-US"/>
        </w:rPr>
        <w:t xml:space="preserve">, C., </w:t>
      </w:r>
      <w:proofErr w:type="spellStart"/>
      <w:r w:rsidRPr="00854D62">
        <w:rPr>
          <w:rFonts w:ascii="Times New Roman" w:hAnsi="Times New Roman" w:cs="Times New Roman"/>
          <w:b/>
          <w:lang w:val="en-US"/>
        </w:rPr>
        <w:t>Mugnier</w:t>
      </w:r>
      <w:proofErr w:type="spellEnd"/>
      <w:r w:rsidRPr="00854D62">
        <w:rPr>
          <w:rFonts w:ascii="Times New Roman" w:hAnsi="Times New Roman" w:cs="Times New Roman"/>
          <w:b/>
          <w:lang w:val="en-US"/>
        </w:rPr>
        <w:t xml:space="preserve"> J.L.,</w:t>
      </w:r>
      <w:r w:rsidRPr="00854D62">
        <w:rPr>
          <w:rFonts w:ascii="Times New Roman" w:hAnsi="Times New Roman" w:cs="Times New Roman"/>
          <w:lang w:val="en-US"/>
        </w:rPr>
        <w:t xml:space="preserve"> </w:t>
      </w:r>
      <w:proofErr w:type="spellStart"/>
      <w:r w:rsidRPr="00854D62">
        <w:rPr>
          <w:rFonts w:ascii="Times New Roman" w:hAnsi="Times New Roman" w:cs="Times New Roman"/>
          <w:lang w:val="en-US"/>
        </w:rPr>
        <w:t>Fallourd</w:t>
      </w:r>
      <w:proofErr w:type="spellEnd"/>
      <w:r w:rsidRPr="00854D62">
        <w:rPr>
          <w:rFonts w:ascii="Times New Roman" w:hAnsi="Times New Roman" w:cs="Times New Roman"/>
          <w:lang w:val="en-US"/>
        </w:rPr>
        <w:t xml:space="preserve">, R., Paquette, J.L., Pohl, A., </w:t>
      </w:r>
      <w:proofErr w:type="spellStart"/>
      <w:r w:rsidRPr="00854D62">
        <w:rPr>
          <w:rFonts w:ascii="Times New Roman" w:hAnsi="Times New Roman" w:cs="Times New Roman"/>
          <w:lang w:val="en-US"/>
        </w:rPr>
        <w:t>Buoncristiani</w:t>
      </w:r>
      <w:proofErr w:type="spellEnd"/>
      <w:r w:rsidRPr="00854D62">
        <w:rPr>
          <w:rFonts w:ascii="Times New Roman" w:hAnsi="Times New Roman" w:cs="Times New Roman"/>
          <w:lang w:val="en-US"/>
        </w:rPr>
        <w:t xml:space="preserve"> J.F., 2013, The Glacier des </w:t>
      </w:r>
      <w:proofErr w:type="spellStart"/>
      <w:r w:rsidRPr="00854D62">
        <w:rPr>
          <w:rFonts w:ascii="Times New Roman" w:hAnsi="Times New Roman" w:cs="Times New Roman"/>
          <w:lang w:val="en-US"/>
        </w:rPr>
        <w:t>Bossons</w:t>
      </w:r>
      <w:proofErr w:type="spellEnd"/>
      <w:r w:rsidRPr="00854D62">
        <w:rPr>
          <w:rFonts w:ascii="Times New Roman" w:hAnsi="Times New Roman" w:cs="Times New Roman"/>
          <w:lang w:val="en-US"/>
        </w:rPr>
        <w:t xml:space="preserve"> protects Europe's summit from erosion, Earth and Planetary Science Letters. </w:t>
      </w:r>
      <w:hyperlink r:id="rId7" w:history="1">
        <w:r w:rsidRPr="00854D62">
          <w:rPr>
            <w:rStyle w:val="Lienhypertexte"/>
            <w:rFonts w:ascii="Times New Roman" w:hAnsi="Times New Roman" w:cs="Times New Roman"/>
          </w:rPr>
          <w:t>http://dx.doi.org/10.1016/j.epsl.2013.05.018</w:t>
        </w:r>
      </w:hyperlink>
      <w:r w:rsidRPr="00854D62">
        <w:rPr>
          <w:rFonts w:ascii="Times New Roman" w:hAnsi="Times New Roman" w:cs="Times New Roman"/>
        </w:rPr>
        <w:t>.</w:t>
      </w:r>
    </w:p>
    <w:p w:rsidR="00A25337" w:rsidRPr="00854D62" w:rsidRDefault="00A25337" w:rsidP="00A25337">
      <w:pPr>
        <w:ind w:left="567" w:hanging="567"/>
        <w:jc w:val="both"/>
        <w:rPr>
          <w:sz w:val="20"/>
          <w:lang w:val="it-IT"/>
        </w:rPr>
      </w:pPr>
      <w:r w:rsidRPr="00854D62">
        <w:rPr>
          <w:sz w:val="20"/>
          <w:lang w:val="it-IT"/>
        </w:rPr>
        <w:t xml:space="preserve"> Guillon</w:t>
      </w:r>
      <w:r w:rsidRPr="00854D62">
        <w:rPr>
          <w:sz w:val="20"/>
        </w:rPr>
        <w:t xml:space="preserve"> H., C. Godon, J.-L. </w:t>
      </w:r>
      <w:proofErr w:type="spellStart"/>
      <w:r w:rsidRPr="00854D62">
        <w:rPr>
          <w:b/>
          <w:sz w:val="20"/>
        </w:rPr>
        <w:t>Mugnier</w:t>
      </w:r>
      <w:proofErr w:type="spellEnd"/>
      <w:r w:rsidRPr="00854D62">
        <w:rPr>
          <w:b/>
          <w:sz w:val="20"/>
        </w:rPr>
        <w:t xml:space="preserve">, J.-F. </w:t>
      </w:r>
      <w:proofErr w:type="spellStart"/>
      <w:r w:rsidRPr="00854D62">
        <w:rPr>
          <w:b/>
          <w:sz w:val="20"/>
        </w:rPr>
        <w:t>Buoncristiani</w:t>
      </w:r>
      <w:proofErr w:type="spellEnd"/>
      <w:r w:rsidRPr="00854D62">
        <w:rPr>
          <w:b/>
          <w:sz w:val="20"/>
        </w:rPr>
        <w:t xml:space="preserve">, J. </w:t>
      </w:r>
      <w:proofErr w:type="spellStart"/>
      <w:r w:rsidRPr="00854D62">
        <w:rPr>
          <w:b/>
          <w:sz w:val="20"/>
        </w:rPr>
        <w:t>Carcaillet</w:t>
      </w:r>
      <w:proofErr w:type="spellEnd"/>
      <w:r w:rsidRPr="00854D62">
        <w:rPr>
          <w:sz w:val="20"/>
        </w:rPr>
        <w:t xml:space="preserve">, J.L. Paquette, P. Van der </w:t>
      </w:r>
      <w:proofErr w:type="spellStart"/>
      <w:r w:rsidRPr="00854D62">
        <w:rPr>
          <w:sz w:val="20"/>
        </w:rPr>
        <w:t>Beek</w:t>
      </w:r>
      <w:proofErr w:type="spellEnd"/>
      <w:r w:rsidRPr="00854D62">
        <w:rPr>
          <w:sz w:val="20"/>
        </w:rPr>
        <w:t xml:space="preserve">, R. </w:t>
      </w:r>
      <w:proofErr w:type="spellStart"/>
      <w:r w:rsidRPr="00854D62">
        <w:rPr>
          <w:sz w:val="20"/>
        </w:rPr>
        <w:t>Vassallo</w:t>
      </w:r>
      <w:proofErr w:type="spellEnd"/>
      <w:r w:rsidRPr="00854D62">
        <w:rPr>
          <w:sz w:val="20"/>
        </w:rPr>
        <w:t xml:space="preserve"> (2013</w:t>
      </w:r>
      <w:r>
        <w:rPr>
          <w:sz w:val="20"/>
        </w:rPr>
        <w:t>, accepté</w:t>
      </w:r>
      <w:r w:rsidRPr="00854D62">
        <w:rPr>
          <w:sz w:val="20"/>
        </w:rPr>
        <w:t xml:space="preserve">) </w:t>
      </w:r>
      <w:r w:rsidRPr="00854D62">
        <w:rPr>
          <w:sz w:val="20"/>
          <w:lang w:val="it-IT"/>
        </w:rPr>
        <w:t>Origine supra ou sous-glaciaire des sédiments des torrents sous-glaciaires ? L’exemple des torrents de Crosette et Bossons  (massif du Mont-Blanc). 14eme congrès de sédimentologie, 5-7 novembre, Paris;</w:t>
      </w:r>
    </w:p>
    <w:p w:rsidR="00A25337" w:rsidRPr="00854D62" w:rsidRDefault="00A25337" w:rsidP="00A25337">
      <w:pPr>
        <w:ind w:firstLine="709"/>
        <w:jc w:val="both"/>
        <w:rPr>
          <w:bCs/>
          <w:sz w:val="20"/>
          <w:lang w:val="en-GB"/>
        </w:rPr>
      </w:pPr>
      <w:proofErr w:type="spellStart"/>
      <w:r w:rsidRPr="007B6904">
        <w:rPr>
          <w:bCs/>
          <w:sz w:val="20"/>
        </w:rPr>
        <w:t>Hallet</w:t>
      </w:r>
      <w:proofErr w:type="spellEnd"/>
      <w:r w:rsidRPr="007B6904">
        <w:rPr>
          <w:bCs/>
          <w:sz w:val="20"/>
        </w:rPr>
        <w:t xml:space="preserve">, B., Hunter, L., </w:t>
      </w:r>
      <w:proofErr w:type="spellStart"/>
      <w:r w:rsidRPr="007B6904">
        <w:rPr>
          <w:bCs/>
          <w:sz w:val="20"/>
        </w:rPr>
        <w:t>Bogen</w:t>
      </w:r>
      <w:proofErr w:type="spellEnd"/>
      <w:r w:rsidRPr="007B6904">
        <w:rPr>
          <w:bCs/>
          <w:sz w:val="20"/>
        </w:rPr>
        <w:t xml:space="preserve">, J., 1996. </w:t>
      </w:r>
      <w:r w:rsidRPr="00854D62">
        <w:rPr>
          <w:bCs/>
          <w:sz w:val="20"/>
          <w:lang w:val="en-GB"/>
        </w:rPr>
        <w:t>Rates of erosion and sediment evacuation by glaciers: A review of field data and their implications. Global Planet. Change 12, 213-235.</w:t>
      </w:r>
    </w:p>
    <w:p w:rsidR="00A25337" w:rsidRPr="00854D62" w:rsidRDefault="00A25337" w:rsidP="00A25337">
      <w:pPr>
        <w:pStyle w:val="Textebrut"/>
        <w:jc w:val="both"/>
        <w:rPr>
          <w:rFonts w:ascii="Times New Roman" w:hAnsi="Times New Roman" w:cs="Times New Roman"/>
          <w:lang w:val="en-US"/>
        </w:rPr>
      </w:pPr>
      <w:r w:rsidRPr="00854D62">
        <w:rPr>
          <w:rFonts w:ascii="Times New Roman" w:hAnsi="Times New Roman" w:cs="Times New Roman"/>
          <w:lang w:val="it-IT"/>
        </w:rPr>
        <w:t xml:space="preserve">Holzhauser, H., Magny, M., Zumbûhl, H.J., 2005. </w:t>
      </w:r>
      <w:r w:rsidRPr="00854D62">
        <w:rPr>
          <w:rFonts w:ascii="Times New Roman" w:hAnsi="Times New Roman" w:cs="Times New Roman"/>
          <w:lang w:val="en-US"/>
        </w:rPr>
        <w:t>Glacier and lake-level variations in west-central Europe over the last 3500 years. The Holocene 15, 789–801.</w:t>
      </w:r>
    </w:p>
    <w:p w:rsidR="00A25337" w:rsidRPr="00854D62" w:rsidRDefault="00A25337" w:rsidP="00A25337">
      <w:pPr>
        <w:pStyle w:val="Textebrut"/>
        <w:ind w:firstLine="709"/>
        <w:jc w:val="both"/>
        <w:rPr>
          <w:rStyle w:val="pagefirst"/>
          <w:rFonts w:ascii="Times New Roman" w:hAnsi="Times New Roman" w:cs="Times New Roman"/>
          <w:iCs/>
          <w:lang w:val="en-US"/>
        </w:rPr>
      </w:pPr>
      <w:proofErr w:type="spellStart"/>
      <w:r w:rsidRPr="00854D62">
        <w:rPr>
          <w:rStyle w:val="author"/>
          <w:rFonts w:ascii="Times New Roman" w:hAnsi="Times New Roman" w:cs="Times New Roman"/>
          <w:iCs/>
          <w:lang w:val="en-US"/>
        </w:rPr>
        <w:t>Ilja</w:t>
      </w:r>
      <w:proofErr w:type="spellEnd"/>
      <w:r w:rsidRPr="00854D62">
        <w:rPr>
          <w:rStyle w:val="author"/>
          <w:rFonts w:ascii="Times New Roman" w:hAnsi="Times New Roman" w:cs="Times New Roman"/>
          <w:iCs/>
          <w:lang w:val="en-US"/>
        </w:rPr>
        <w:t xml:space="preserve"> L. de Winter</w:t>
      </w:r>
      <w:r w:rsidRPr="00854D62">
        <w:rPr>
          <w:rStyle w:val="CitationHTML"/>
          <w:rFonts w:ascii="Times New Roman" w:hAnsi="Times New Roman" w:cs="Times New Roman"/>
          <w:lang w:val="en-US"/>
        </w:rPr>
        <w:t xml:space="preserve">, </w:t>
      </w:r>
      <w:proofErr w:type="spellStart"/>
      <w:r w:rsidRPr="00854D62">
        <w:rPr>
          <w:rStyle w:val="author"/>
          <w:rFonts w:ascii="Times New Roman" w:hAnsi="Times New Roman" w:cs="Times New Roman"/>
          <w:iCs/>
          <w:lang w:val="en-US"/>
        </w:rPr>
        <w:t>Joep</w:t>
      </w:r>
      <w:proofErr w:type="spellEnd"/>
      <w:r w:rsidRPr="00854D62">
        <w:rPr>
          <w:rStyle w:val="author"/>
          <w:rFonts w:ascii="Times New Roman" w:hAnsi="Times New Roman" w:cs="Times New Roman"/>
          <w:iCs/>
          <w:lang w:val="en-US"/>
        </w:rPr>
        <w:t xml:space="preserve"> E.A. Storms</w:t>
      </w:r>
      <w:r w:rsidRPr="00854D62">
        <w:rPr>
          <w:rStyle w:val="CitationHTML"/>
          <w:rFonts w:ascii="Times New Roman" w:hAnsi="Times New Roman" w:cs="Times New Roman"/>
          <w:lang w:val="en-US"/>
        </w:rPr>
        <w:t xml:space="preserve">, </w:t>
      </w:r>
      <w:r w:rsidRPr="00854D62">
        <w:rPr>
          <w:rStyle w:val="author"/>
          <w:rFonts w:ascii="Times New Roman" w:hAnsi="Times New Roman" w:cs="Times New Roman"/>
          <w:iCs/>
          <w:lang w:val="en-US"/>
        </w:rPr>
        <w:t xml:space="preserve">Irina </w:t>
      </w:r>
      <w:proofErr w:type="spellStart"/>
      <w:r w:rsidRPr="00854D62">
        <w:rPr>
          <w:rStyle w:val="author"/>
          <w:rFonts w:ascii="Times New Roman" w:hAnsi="Times New Roman" w:cs="Times New Roman"/>
          <w:iCs/>
          <w:lang w:val="en-US"/>
        </w:rPr>
        <w:t>Overeem</w:t>
      </w:r>
      <w:proofErr w:type="spellEnd"/>
      <w:r w:rsidRPr="00854D62">
        <w:rPr>
          <w:rStyle w:val="CitationHTML"/>
          <w:rFonts w:ascii="Times New Roman" w:hAnsi="Times New Roman" w:cs="Times New Roman"/>
          <w:lang w:val="en-US"/>
        </w:rPr>
        <w:t xml:space="preserve">, </w:t>
      </w:r>
      <w:r w:rsidRPr="00854D62">
        <w:rPr>
          <w:rStyle w:val="articletitle"/>
          <w:rFonts w:ascii="Times New Roman" w:hAnsi="Times New Roman" w:cs="Times New Roman"/>
          <w:iCs/>
          <w:lang w:val="en-US"/>
        </w:rPr>
        <w:t xml:space="preserve">Numerical modeling of glacial sediment production and transport during </w:t>
      </w:r>
      <w:proofErr w:type="spellStart"/>
      <w:r w:rsidRPr="00854D62">
        <w:rPr>
          <w:rStyle w:val="articletitle"/>
          <w:rFonts w:ascii="Times New Roman" w:hAnsi="Times New Roman" w:cs="Times New Roman"/>
          <w:iCs/>
          <w:lang w:val="en-US"/>
        </w:rPr>
        <w:t>deglaciation</w:t>
      </w:r>
      <w:proofErr w:type="spellEnd"/>
      <w:r w:rsidRPr="00854D62">
        <w:rPr>
          <w:rStyle w:val="CitationHTML"/>
          <w:rFonts w:ascii="Times New Roman" w:hAnsi="Times New Roman" w:cs="Times New Roman"/>
          <w:lang w:val="en-US"/>
        </w:rPr>
        <w:t xml:space="preserve">, </w:t>
      </w:r>
      <w:r w:rsidRPr="00854D62">
        <w:rPr>
          <w:rStyle w:val="journaltitle"/>
          <w:rFonts w:ascii="Times New Roman" w:hAnsi="Times New Roman" w:cs="Times New Roman"/>
          <w:iCs/>
          <w:lang w:val="en-US"/>
        </w:rPr>
        <w:t>Geomorphology</w:t>
      </w:r>
      <w:r w:rsidRPr="00854D62">
        <w:rPr>
          <w:rStyle w:val="CitationHTML"/>
          <w:rFonts w:ascii="Times New Roman" w:hAnsi="Times New Roman" w:cs="Times New Roman"/>
          <w:lang w:val="en-US"/>
        </w:rPr>
        <w:t xml:space="preserve">, </w:t>
      </w:r>
      <w:r w:rsidRPr="00854D62">
        <w:rPr>
          <w:rStyle w:val="pubyear"/>
          <w:rFonts w:ascii="Times New Roman" w:hAnsi="Times New Roman" w:cs="Times New Roman"/>
          <w:iCs/>
          <w:lang w:val="en-US"/>
        </w:rPr>
        <w:t>2012</w:t>
      </w:r>
      <w:r w:rsidRPr="00854D62">
        <w:rPr>
          <w:rStyle w:val="CitationHTML"/>
          <w:rFonts w:ascii="Times New Roman" w:hAnsi="Times New Roman" w:cs="Times New Roman"/>
          <w:lang w:val="en-US"/>
        </w:rPr>
        <w:t xml:space="preserve">, </w:t>
      </w:r>
      <w:r w:rsidRPr="00854D62">
        <w:rPr>
          <w:rStyle w:val="vol"/>
          <w:rFonts w:ascii="Times New Roman" w:hAnsi="Times New Roman" w:cs="Times New Roman"/>
          <w:iCs/>
          <w:lang w:val="en-US"/>
        </w:rPr>
        <w:t>167-168</w:t>
      </w:r>
      <w:r w:rsidRPr="00854D62">
        <w:rPr>
          <w:rStyle w:val="CitationHTML"/>
          <w:rFonts w:ascii="Times New Roman" w:hAnsi="Times New Roman" w:cs="Times New Roman"/>
          <w:lang w:val="en-US"/>
        </w:rPr>
        <w:t xml:space="preserve">, </w:t>
      </w:r>
      <w:r w:rsidRPr="00854D62">
        <w:rPr>
          <w:rStyle w:val="pagefirst"/>
          <w:rFonts w:ascii="Times New Roman" w:hAnsi="Times New Roman" w:cs="Times New Roman"/>
          <w:iCs/>
          <w:lang w:val="en-US"/>
        </w:rPr>
        <w:t>102.</w:t>
      </w:r>
    </w:p>
    <w:p w:rsidR="00A25337" w:rsidRPr="00854D62" w:rsidRDefault="00A25337" w:rsidP="00A25337">
      <w:pPr>
        <w:autoSpaceDE w:val="0"/>
        <w:autoSpaceDN w:val="0"/>
        <w:adjustRightInd w:val="0"/>
        <w:ind w:firstLine="708"/>
        <w:jc w:val="both"/>
        <w:rPr>
          <w:sz w:val="20"/>
          <w:lang w:val="en-US"/>
        </w:rPr>
      </w:pPr>
      <w:proofErr w:type="spellStart"/>
      <w:r w:rsidRPr="00854D62">
        <w:rPr>
          <w:sz w:val="20"/>
          <w:lang w:val="en-US"/>
        </w:rPr>
        <w:t>Kuhlemann</w:t>
      </w:r>
      <w:proofErr w:type="spellEnd"/>
      <w:r w:rsidRPr="00854D62">
        <w:rPr>
          <w:sz w:val="20"/>
          <w:lang w:val="en-US"/>
        </w:rPr>
        <w:t xml:space="preserve">, J., W. Frisch, B. </w:t>
      </w:r>
      <w:proofErr w:type="spellStart"/>
      <w:r w:rsidRPr="00854D62">
        <w:rPr>
          <w:sz w:val="20"/>
          <w:lang w:val="en-US"/>
        </w:rPr>
        <w:t>Székely</w:t>
      </w:r>
      <w:proofErr w:type="spellEnd"/>
      <w:r w:rsidRPr="00854D62">
        <w:rPr>
          <w:sz w:val="20"/>
          <w:lang w:val="en-US"/>
        </w:rPr>
        <w:t xml:space="preserve">, I. </w:t>
      </w:r>
      <w:proofErr w:type="spellStart"/>
      <w:r w:rsidRPr="00854D62">
        <w:rPr>
          <w:sz w:val="20"/>
          <w:lang w:val="en-US"/>
        </w:rPr>
        <w:t>Dunkl</w:t>
      </w:r>
      <w:proofErr w:type="spellEnd"/>
      <w:r w:rsidRPr="00854D62">
        <w:rPr>
          <w:sz w:val="20"/>
          <w:lang w:val="en-US"/>
        </w:rPr>
        <w:t xml:space="preserve">, and M. </w:t>
      </w:r>
      <w:proofErr w:type="spellStart"/>
      <w:r w:rsidRPr="00854D62">
        <w:rPr>
          <w:sz w:val="20"/>
          <w:lang w:val="en-US"/>
        </w:rPr>
        <w:t>Kázmér</w:t>
      </w:r>
      <w:proofErr w:type="spellEnd"/>
      <w:r w:rsidRPr="00854D62">
        <w:rPr>
          <w:sz w:val="20"/>
          <w:lang w:val="en-US"/>
        </w:rPr>
        <w:t xml:space="preserve"> (2002), Post-collisional sediment budget history of the Alps: tectonic versus climatic control, </w:t>
      </w:r>
      <w:r w:rsidRPr="00854D62">
        <w:rPr>
          <w:i/>
          <w:iCs/>
          <w:sz w:val="20"/>
          <w:lang w:val="en-US"/>
        </w:rPr>
        <w:t>Int. J. Earth Sci.</w:t>
      </w:r>
      <w:r w:rsidRPr="00854D62">
        <w:rPr>
          <w:sz w:val="20"/>
          <w:lang w:val="en-US"/>
        </w:rPr>
        <w:t xml:space="preserve">, </w:t>
      </w:r>
      <w:r w:rsidRPr="00854D62">
        <w:rPr>
          <w:i/>
          <w:iCs/>
          <w:sz w:val="20"/>
          <w:lang w:val="en-US"/>
        </w:rPr>
        <w:t>91</w:t>
      </w:r>
      <w:r w:rsidRPr="00854D62">
        <w:rPr>
          <w:sz w:val="20"/>
          <w:lang w:val="en-US"/>
        </w:rPr>
        <w:t>, 818-837.</w:t>
      </w:r>
    </w:p>
    <w:p w:rsidR="00A25337" w:rsidRPr="00854D62" w:rsidRDefault="00A25337" w:rsidP="00A25337">
      <w:pPr>
        <w:ind w:firstLine="708"/>
        <w:jc w:val="both"/>
        <w:rPr>
          <w:sz w:val="20"/>
          <w:lang w:val="en-US"/>
        </w:rPr>
      </w:pPr>
      <w:r w:rsidRPr="00854D62">
        <w:rPr>
          <w:sz w:val="20"/>
          <w:lang w:val="en-US"/>
        </w:rPr>
        <w:t>Molnar, P. (2004), Late Cenozoic increase in accumulation rates of terrestrial sediment: How might climate change have affected erosion rates</w:t>
      </w:r>
      <w:proofErr w:type="gramStart"/>
      <w:r w:rsidRPr="00854D62">
        <w:rPr>
          <w:sz w:val="20"/>
          <w:lang w:val="en-US"/>
        </w:rPr>
        <w:t>?,</w:t>
      </w:r>
      <w:proofErr w:type="gramEnd"/>
      <w:r w:rsidRPr="00854D62">
        <w:rPr>
          <w:sz w:val="20"/>
          <w:lang w:val="en-US"/>
        </w:rPr>
        <w:t xml:space="preserve"> Ann. Rev. Earth Planet. Sci., 32, 67-89.</w:t>
      </w:r>
    </w:p>
    <w:p w:rsidR="00A25337" w:rsidRPr="00854D62" w:rsidRDefault="00A25337" w:rsidP="00A25337">
      <w:pPr>
        <w:ind w:firstLine="708"/>
        <w:jc w:val="both"/>
        <w:rPr>
          <w:rStyle w:val="referencetext"/>
          <w:sz w:val="20"/>
          <w:lang w:val="en-US"/>
        </w:rPr>
      </w:pPr>
      <w:proofErr w:type="spellStart"/>
      <w:r w:rsidRPr="00854D62">
        <w:rPr>
          <w:sz w:val="20"/>
          <w:lang w:val="en-US"/>
        </w:rPr>
        <w:t>Nussbaumer</w:t>
      </w:r>
      <w:proofErr w:type="spellEnd"/>
      <w:r w:rsidRPr="00854D62">
        <w:rPr>
          <w:sz w:val="20"/>
          <w:lang w:val="en-US"/>
        </w:rPr>
        <w:t xml:space="preserve">, S.U., </w:t>
      </w:r>
      <w:proofErr w:type="spellStart"/>
      <w:r w:rsidRPr="00854D62">
        <w:rPr>
          <w:sz w:val="20"/>
          <w:lang w:val="en-US"/>
        </w:rPr>
        <w:t>Zumbühl</w:t>
      </w:r>
      <w:proofErr w:type="spellEnd"/>
      <w:r w:rsidRPr="00854D62">
        <w:rPr>
          <w:sz w:val="20"/>
          <w:lang w:val="en-US"/>
        </w:rPr>
        <w:t xml:space="preserve"> H.J., 2012. The Little Ice Age history of the Glacier des </w:t>
      </w:r>
      <w:proofErr w:type="spellStart"/>
      <w:r w:rsidRPr="00854D62">
        <w:rPr>
          <w:sz w:val="20"/>
          <w:lang w:val="en-US"/>
        </w:rPr>
        <w:t>Bossons</w:t>
      </w:r>
      <w:proofErr w:type="spellEnd"/>
      <w:r w:rsidRPr="00854D62">
        <w:rPr>
          <w:sz w:val="20"/>
          <w:lang w:val="en-US"/>
        </w:rPr>
        <w:t xml:space="preserve"> (Mont-Blanc area, France): a new high-resolution glacier length curve based on historical documents, Climatic Change 111, 301-334. </w:t>
      </w:r>
      <w:proofErr w:type="gramStart"/>
      <w:r w:rsidRPr="00854D62">
        <w:rPr>
          <w:sz w:val="20"/>
          <w:lang w:val="en-US"/>
        </w:rPr>
        <w:t>doi:</w:t>
      </w:r>
      <w:proofErr w:type="gramEnd"/>
      <w:r w:rsidRPr="00854D62">
        <w:rPr>
          <w:sz w:val="20"/>
          <w:lang w:val="en-US"/>
        </w:rPr>
        <w:t>10.1007/s10584-011-0130-9</w:t>
      </w:r>
      <w:r w:rsidRPr="00854D62">
        <w:rPr>
          <w:rStyle w:val="referencetext"/>
          <w:sz w:val="20"/>
          <w:lang w:val="en-US"/>
        </w:rPr>
        <w:t>.</w:t>
      </w:r>
    </w:p>
    <w:p w:rsidR="00A25337" w:rsidRPr="007B6904" w:rsidRDefault="00A25337" w:rsidP="00A25337">
      <w:pPr>
        <w:pStyle w:val="Textebrut"/>
        <w:ind w:firstLine="709"/>
        <w:jc w:val="both"/>
        <w:rPr>
          <w:rFonts w:ascii="Times New Roman" w:hAnsi="Times New Roman" w:cs="Times New Roman"/>
          <w:lang w:val="en-US"/>
        </w:rPr>
      </w:pPr>
      <w:r w:rsidRPr="00854D62">
        <w:rPr>
          <w:rFonts w:ascii="Times New Roman" w:hAnsi="Times New Roman" w:cs="Times New Roman"/>
          <w:lang w:val="en-US"/>
        </w:rPr>
        <w:t xml:space="preserve">Ward, D. J., R. S. Anderson, Z. S. Guido, and J. P. </w:t>
      </w:r>
      <w:proofErr w:type="spellStart"/>
      <w:r w:rsidRPr="00854D62">
        <w:rPr>
          <w:rFonts w:ascii="Times New Roman" w:hAnsi="Times New Roman" w:cs="Times New Roman"/>
          <w:lang w:val="en-US"/>
        </w:rPr>
        <w:t>Briner</w:t>
      </w:r>
      <w:proofErr w:type="spellEnd"/>
      <w:r w:rsidRPr="00854D62">
        <w:rPr>
          <w:rFonts w:ascii="Times New Roman" w:hAnsi="Times New Roman" w:cs="Times New Roman"/>
          <w:lang w:val="en-US"/>
        </w:rPr>
        <w:t xml:space="preserve"> (2009). Numerical modeling of </w:t>
      </w:r>
      <w:proofErr w:type="spellStart"/>
      <w:r w:rsidRPr="00854D62">
        <w:rPr>
          <w:rFonts w:ascii="Times New Roman" w:hAnsi="Times New Roman" w:cs="Times New Roman"/>
          <w:lang w:val="en-US"/>
        </w:rPr>
        <w:t>cosmogenic</w:t>
      </w:r>
      <w:proofErr w:type="spellEnd"/>
      <w:r w:rsidRPr="00854D62">
        <w:rPr>
          <w:rFonts w:ascii="Times New Roman" w:hAnsi="Times New Roman" w:cs="Times New Roman"/>
          <w:lang w:val="en-US"/>
        </w:rPr>
        <w:t xml:space="preserve"> </w:t>
      </w:r>
      <w:proofErr w:type="spellStart"/>
      <w:r w:rsidRPr="00854D62">
        <w:rPr>
          <w:rFonts w:ascii="Times New Roman" w:hAnsi="Times New Roman" w:cs="Times New Roman"/>
          <w:lang w:val="en-US"/>
        </w:rPr>
        <w:t>deglaciation</w:t>
      </w:r>
      <w:proofErr w:type="spellEnd"/>
      <w:r w:rsidRPr="00854D62">
        <w:rPr>
          <w:rFonts w:ascii="Times New Roman" w:hAnsi="Times New Roman" w:cs="Times New Roman"/>
          <w:lang w:val="en-US"/>
        </w:rPr>
        <w:t xml:space="preserve"> records, Front Range and San Juan </w:t>
      </w:r>
      <w:proofErr w:type="gramStart"/>
      <w:r w:rsidRPr="00854D62">
        <w:rPr>
          <w:rFonts w:ascii="Times New Roman" w:hAnsi="Times New Roman" w:cs="Times New Roman"/>
          <w:lang w:val="en-US"/>
        </w:rPr>
        <w:t>mountains</w:t>
      </w:r>
      <w:proofErr w:type="gramEnd"/>
      <w:r w:rsidRPr="00854D62">
        <w:rPr>
          <w:rFonts w:ascii="Times New Roman" w:hAnsi="Times New Roman" w:cs="Times New Roman"/>
          <w:lang w:val="en-US"/>
        </w:rPr>
        <w:t xml:space="preserve">, Colorado. </w:t>
      </w:r>
      <w:r w:rsidRPr="007B6904">
        <w:rPr>
          <w:rStyle w:val="Accentuation"/>
          <w:rFonts w:ascii="Times New Roman" w:hAnsi="Times New Roman" w:cs="Times New Roman"/>
          <w:lang w:val="en-US"/>
        </w:rPr>
        <w:t>Journal of Geophysical Research, Earth Surface</w:t>
      </w:r>
      <w:r w:rsidRPr="007B6904">
        <w:rPr>
          <w:rFonts w:ascii="Times New Roman" w:hAnsi="Times New Roman" w:cs="Times New Roman"/>
          <w:lang w:val="en-US"/>
        </w:rPr>
        <w:t>, 114(F01026).</w:t>
      </w:r>
    </w:p>
    <w:p w:rsidR="00A25337" w:rsidRPr="007B6904" w:rsidRDefault="00A25337" w:rsidP="00A25337">
      <w:pPr>
        <w:autoSpaceDE w:val="0"/>
        <w:autoSpaceDN w:val="0"/>
        <w:adjustRightInd w:val="0"/>
        <w:ind w:firstLine="709"/>
        <w:jc w:val="both"/>
        <w:rPr>
          <w:sz w:val="20"/>
        </w:rPr>
      </w:pPr>
      <w:r w:rsidRPr="00854D62">
        <w:rPr>
          <w:bCs/>
          <w:sz w:val="20"/>
          <w:lang w:val="en-US"/>
        </w:rPr>
        <w:t xml:space="preserve">Ward D.J.  </w:t>
      </w:r>
      <w:proofErr w:type="gramStart"/>
      <w:r w:rsidRPr="00854D62">
        <w:rPr>
          <w:bCs/>
          <w:sz w:val="20"/>
          <w:lang w:val="en-US"/>
        </w:rPr>
        <w:t>and</w:t>
      </w:r>
      <w:proofErr w:type="gramEnd"/>
      <w:r w:rsidRPr="00854D62">
        <w:rPr>
          <w:bCs/>
          <w:sz w:val="20"/>
          <w:lang w:val="en-US"/>
        </w:rPr>
        <w:t xml:space="preserve"> Anderson R. S., 2011. The use of ablation-dominated medial moraines as samplers for 10Be-derived erosion rates of glacier valley walls, </w:t>
      </w:r>
      <w:proofErr w:type="spellStart"/>
      <w:r w:rsidRPr="00854D62">
        <w:rPr>
          <w:bCs/>
          <w:sz w:val="20"/>
          <w:lang w:val="en-US"/>
        </w:rPr>
        <w:t>Kichatna</w:t>
      </w:r>
      <w:proofErr w:type="spellEnd"/>
      <w:r w:rsidRPr="00854D62">
        <w:rPr>
          <w:bCs/>
          <w:sz w:val="20"/>
          <w:lang w:val="en-US"/>
        </w:rPr>
        <w:t xml:space="preserve"> Mountains, AK</w:t>
      </w:r>
      <w:r w:rsidRPr="00854D62">
        <w:rPr>
          <w:iCs/>
          <w:sz w:val="20"/>
          <w:lang w:val="en-US"/>
        </w:rPr>
        <w:t xml:space="preserve"> Earth Surf. </w:t>
      </w:r>
      <w:proofErr w:type="spellStart"/>
      <w:r w:rsidRPr="007B6904">
        <w:rPr>
          <w:iCs/>
          <w:sz w:val="20"/>
        </w:rPr>
        <w:t>Process</w:t>
      </w:r>
      <w:proofErr w:type="spellEnd"/>
      <w:r w:rsidRPr="007B6904">
        <w:rPr>
          <w:iCs/>
          <w:sz w:val="20"/>
        </w:rPr>
        <w:t xml:space="preserve">. </w:t>
      </w:r>
      <w:proofErr w:type="spellStart"/>
      <w:r w:rsidRPr="007B6904">
        <w:rPr>
          <w:iCs/>
          <w:sz w:val="20"/>
        </w:rPr>
        <w:t>Landforms</w:t>
      </w:r>
      <w:proofErr w:type="spellEnd"/>
      <w:r w:rsidRPr="007B6904">
        <w:rPr>
          <w:iCs/>
          <w:sz w:val="20"/>
        </w:rPr>
        <w:t xml:space="preserve"> </w:t>
      </w:r>
      <w:r w:rsidRPr="007B6904">
        <w:rPr>
          <w:bCs/>
          <w:sz w:val="20"/>
        </w:rPr>
        <w:t xml:space="preserve">36, </w:t>
      </w:r>
      <w:r w:rsidRPr="007B6904">
        <w:rPr>
          <w:sz w:val="20"/>
        </w:rPr>
        <w:t>495–512 (2011).</w:t>
      </w:r>
    </w:p>
    <w:p w:rsidR="00A25337" w:rsidRPr="007B6904" w:rsidRDefault="00A25337" w:rsidP="00A25337">
      <w:pPr>
        <w:pStyle w:val="Textebrut"/>
        <w:ind w:firstLine="709"/>
        <w:jc w:val="both"/>
        <w:rPr>
          <w:rFonts w:ascii="Times New Roman" w:hAnsi="Times New Roman" w:cs="Times New Roman"/>
          <w:sz w:val="24"/>
          <w:szCs w:val="24"/>
        </w:rPr>
      </w:pPr>
    </w:p>
    <w:p w:rsidR="00A25337" w:rsidRPr="007B6904" w:rsidRDefault="00A25337" w:rsidP="00A25337">
      <w:pPr>
        <w:rPr>
          <w:rFonts w:ascii="Arial" w:hAnsi="Arial" w:cs="Arial"/>
          <w:sz w:val="20"/>
        </w:rPr>
      </w:pPr>
    </w:p>
    <w:p w:rsidR="00A25337" w:rsidRPr="007B6904" w:rsidRDefault="00A25337" w:rsidP="00A25337">
      <w:pPr>
        <w:rPr>
          <w:rFonts w:ascii="Arial" w:hAnsi="Arial" w:cs="Arial"/>
          <w:sz w:val="20"/>
        </w:rPr>
      </w:pPr>
    </w:p>
    <w:p w:rsidR="00A25337" w:rsidRPr="00FB3372" w:rsidRDefault="00A25337" w:rsidP="00A25337">
      <w:pPr>
        <w:rPr>
          <w:rFonts w:ascii="Arial" w:hAnsi="Arial" w:cs="Arial"/>
          <w:b/>
          <w:sz w:val="20"/>
        </w:rPr>
      </w:pPr>
      <w:r w:rsidRPr="00FB3372">
        <w:rPr>
          <w:rFonts w:ascii="Arial" w:hAnsi="Arial" w:cs="Arial"/>
          <w:b/>
          <w:sz w:val="20"/>
        </w:rPr>
        <w:t>2. Plan de recherche et calendrier de réalisation</w:t>
      </w:r>
    </w:p>
    <w:p w:rsidR="00A25337" w:rsidRPr="00FB3372" w:rsidRDefault="00A25337" w:rsidP="00A25337">
      <w:pPr>
        <w:rPr>
          <w:rFonts w:ascii="Arial" w:hAnsi="Arial" w:cs="Arial"/>
          <w:sz w:val="20"/>
        </w:rPr>
      </w:pPr>
    </w:p>
    <w:p w:rsidR="00A25337" w:rsidRDefault="00A25337" w:rsidP="00A25337">
      <w:pPr>
        <w:ind w:firstLine="360"/>
        <w:rPr>
          <w:szCs w:val="24"/>
        </w:rPr>
      </w:pPr>
      <w:r w:rsidRPr="000F380F">
        <w:rPr>
          <w:b/>
          <w:szCs w:val="24"/>
        </w:rPr>
        <w:t>La zone d’étude</w:t>
      </w:r>
      <w:r>
        <w:rPr>
          <w:szCs w:val="24"/>
        </w:rPr>
        <w:t xml:space="preserve"> a été choisie dans le massif du mont-blanc, car c’est là que sont situés les plus grands glaciers français ; ceux-ci sont faciles d’accès et nous avons une bonne connaissance de ce système glaciaire et du substratum rocheux (Projet ANR 2009_2013 et thèse C Godon). </w:t>
      </w:r>
    </w:p>
    <w:p w:rsidR="00A25337" w:rsidRDefault="00A25337" w:rsidP="00A25337">
      <w:pPr>
        <w:ind w:firstLine="360"/>
        <w:rPr>
          <w:szCs w:val="24"/>
        </w:rPr>
      </w:pPr>
    </w:p>
    <w:p w:rsidR="00A25337" w:rsidRDefault="00A25337" w:rsidP="00A25337">
      <w:pPr>
        <w:ind w:firstLine="360"/>
      </w:pPr>
      <w:r>
        <w:rPr>
          <w:noProof/>
        </w:rPr>
        <w:drawing>
          <wp:inline distT="0" distB="0" distL="0" distR="0">
            <wp:extent cx="4753610" cy="2628900"/>
            <wp:effectExtent l="0" t="0" r="8890" b="0"/>
            <wp:docPr id="1" name="Image 1"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3610" cy="2628900"/>
                    </a:xfrm>
                    <a:prstGeom prst="rect">
                      <a:avLst/>
                    </a:prstGeom>
                    <a:noFill/>
                    <a:ln>
                      <a:noFill/>
                    </a:ln>
                  </pic:spPr>
                </pic:pic>
              </a:graphicData>
            </a:graphic>
          </wp:inline>
        </w:drawing>
      </w:r>
    </w:p>
    <w:p w:rsidR="00A25337" w:rsidRDefault="00A25337" w:rsidP="00A25337">
      <w:pPr>
        <w:ind w:firstLine="360"/>
        <w:rPr>
          <w:i/>
          <w:szCs w:val="24"/>
        </w:rPr>
      </w:pPr>
      <w:r w:rsidRPr="007B6904">
        <w:rPr>
          <w:i/>
          <w:szCs w:val="24"/>
        </w:rPr>
        <w:t>Fig. 3 : localisation des  quatre sites d’étude</w:t>
      </w:r>
    </w:p>
    <w:p w:rsidR="00A25337" w:rsidRPr="007B6904" w:rsidRDefault="00A25337" w:rsidP="00A25337">
      <w:pPr>
        <w:ind w:firstLine="360"/>
        <w:jc w:val="both"/>
        <w:rPr>
          <w:i/>
          <w:szCs w:val="24"/>
        </w:rPr>
      </w:pPr>
    </w:p>
    <w:p w:rsidR="00A25337" w:rsidRDefault="00A25337" w:rsidP="00A25337">
      <w:pPr>
        <w:jc w:val="both"/>
        <w:rPr>
          <w:szCs w:val="24"/>
        </w:rPr>
      </w:pPr>
      <w:r>
        <w:rPr>
          <w:szCs w:val="24"/>
        </w:rPr>
        <w:t>Quatre</w:t>
      </w:r>
      <w:r w:rsidRPr="00DA4602">
        <w:rPr>
          <w:szCs w:val="24"/>
        </w:rPr>
        <w:t xml:space="preserve"> glaciers</w:t>
      </w:r>
      <w:r>
        <w:rPr>
          <w:szCs w:val="24"/>
        </w:rPr>
        <w:t xml:space="preserve"> </w:t>
      </w:r>
      <w:r w:rsidRPr="00DA4602">
        <w:rPr>
          <w:szCs w:val="24"/>
        </w:rPr>
        <w:t>du massif du Mont-Blanc</w:t>
      </w:r>
      <w:r>
        <w:rPr>
          <w:szCs w:val="24"/>
        </w:rPr>
        <w:t>,</w:t>
      </w:r>
      <w:r w:rsidRPr="00DA4602">
        <w:rPr>
          <w:szCs w:val="24"/>
        </w:rPr>
        <w:t xml:space="preserve"> </w:t>
      </w:r>
      <w:r>
        <w:rPr>
          <w:szCs w:val="24"/>
        </w:rPr>
        <w:t xml:space="preserve">dont les bassin-versant montrent des caractéristiques orographiques et lithologiques différentes, </w:t>
      </w:r>
      <w:r w:rsidRPr="00DA4602">
        <w:rPr>
          <w:szCs w:val="24"/>
        </w:rPr>
        <w:t>seront échantillonnés</w:t>
      </w:r>
      <w:r>
        <w:rPr>
          <w:szCs w:val="24"/>
        </w:rPr>
        <w:t xml:space="preserve"> dans ce projet (Fig. 3)</w:t>
      </w:r>
      <w:r w:rsidRPr="00DA4602">
        <w:rPr>
          <w:szCs w:val="24"/>
        </w:rPr>
        <w:t>:</w:t>
      </w:r>
    </w:p>
    <w:p w:rsidR="00A25337" w:rsidRDefault="00A25337" w:rsidP="00A25337">
      <w:pPr>
        <w:numPr>
          <w:ilvl w:val="0"/>
          <w:numId w:val="3"/>
        </w:numPr>
        <w:jc w:val="both"/>
        <w:rPr>
          <w:szCs w:val="24"/>
        </w:rPr>
      </w:pPr>
      <w:r>
        <w:rPr>
          <w:szCs w:val="24"/>
        </w:rPr>
        <w:lastRenderedPageBreak/>
        <w:t>Trient, situé en versant nord et à faible altitude. Il est actuellement recouvert par aucune charge supra-glaciaire significative, et seul les sédiments de son exutoire seront échantillonnés ;</w:t>
      </w:r>
    </w:p>
    <w:p w:rsidR="00A25337" w:rsidRDefault="00A25337" w:rsidP="00A25337">
      <w:pPr>
        <w:numPr>
          <w:ilvl w:val="0"/>
          <w:numId w:val="3"/>
        </w:numPr>
        <w:jc w:val="both"/>
        <w:rPr>
          <w:szCs w:val="24"/>
        </w:rPr>
      </w:pPr>
      <w:r>
        <w:rPr>
          <w:szCs w:val="24"/>
        </w:rPr>
        <w:t>Argentière ; dont les torrents sous-glaciaires sont facilement accessibles grâce aux captages sous glaciaires réalisés par la société d’Emosson (Echantillons prélevés par L. Moreau). </w:t>
      </w:r>
    </w:p>
    <w:p w:rsidR="00A25337" w:rsidRDefault="00A25337" w:rsidP="00A25337">
      <w:pPr>
        <w:numPr>
          <w:ilvl w:val="0"/>
          <w:numId w:val="3"/>
        </w:numPr>
        <w:jc w:val="both"/>
        <w:rPr>
          <w:szCs w:val="24"/>
        </w:rPr>
      </w:pPr>
      <w:r>
        <w:rPr>
          <w:szCs w:val="24"/>
        </w:rPr>
        <w:t>Bossons, dont deux des exutoires sont actuellement instrumentés pour mesurer débit et concentration de la charge en suspension, avec piège à sédiments</w:t>
      </w:r>
    </w:p>
    <w:p w:rsidR="00A25337" w:rsidRDefault="00A25337" w:rsidP="00A25337">
      <w:pPr>
        <w:numPr>
          <w:ilvl w:val="0"/>
          <w:numId w:val="3"/>
        </w:numPr>
        <w:jc w:val="both"/>
        <w:rPr>
          <w:szCs w:val="24"/>
        </w:rPr>
      </w:pPr>
      <w:proofErr w:type="spellStart"/>
      <w:r>
        <w:rPr>
          <w:szCs w:val="24"/>
        </w:rPr>
        <w:t>Bionnassay</w:t>
      </w:r>
      <w:proofErr w:type="spellEnd"/>
      <w:r>
        <w:rPr>
          <w:szCs w:val="24"/>
        </w:rPr>
        <w:t>, recouvert par d’importantes moraines, et dont le torrent sous-glaciaire est aisément accessible ;</w:t>
      </w:r>
    </w:p>
    <w:p w:rsidR="00A25337" w:rsidRDefault="00A25337" w:rsidP="00A25337">
      <w:pPr>
        <w:ind w:firstLine="360"/>
        <w:jc w:val="both"/>
        <w:rPr>
          <w:szCs w:val="24"/>
        </w:rPr>
      </w:pPr>
    </w:p>
    <w:p w:rsidR="00A25337" w:rsidRDefault="00A25337" w:rsidP="00A25337">
      <w:pPr>
        <w:ind w:firstLine="360"/>
        <w:jc w:val="both"/>
        <w:rPr>
          <w:szCs w:val="24"/>
        </w:rPr>
      </w:pPr>
    </w:p>
    <w:p w:rsidR="00A25337" w:rsidRDefault="00A25337" w:rsidP="00A25337">
      <w:pPr>
        <w:ind w:firstLine="360"/>
        <w:jc w:val="both"/>
        <w:rPr>
          <w:szCs w:val="24"/>
        </w:rPr>
      </w:pPr>
      <w:r w:rsidRPr="000F380F">
        <w:rPr>
          <w:b/>
          <w:szCs w:val="24"/>
        </w:rPr>
        <w:t>Le protocole</w:t>
      </w:r>
      <w:r>
        <w:rPr>
          <w:szCs w:val="24"/>
        </w:rPr>
        <w:t xml:space="preserve"> sera identique pour chaque glacier et permettra d’échantillonner deux zones différentes : les clastes </w:t>
      </w:r>
      <w:proofErr w:type="spellStart"/>
      <w:r>
        <w:rPr>
          <w:szCs w:val="24"/>
        </w:rPr>
        <w:t>surpra</w:t>
      </w:r>
      <w:proofErr w:type="spellEnd"/>
      <w:r>
        <w:rPr>
          <w:szCs w:val="24"/>
        </w:rPr>
        <w:t xml:space="preserve">-glaciaires et les clastes sous-glaciaires. </w:t>
      </w:r>
      <w:r w:rsidDel="006341FF">
        <w:rPr>
          <w:szCs w:val="24"/>
        </w:rPr>
        <w:t xml:space="preserve"> </w:t>
      </w:r>
      <w:r>
        <w:rPr>
          <w:szCs w:val="24"/>
        </w:rPr>
        <w:t xml:space="preserve">Ainsi,  trois échantillons supra-glaciaires seront récoltés si possible dans les bédières </w:t>
      </w:r>
      <w:proofErr w:type="gramStart"/>
      <w:r>
        <w:rPr>
          <w:szCs w:val="24"/>
        </w:rPr>
        <w:t>( Ces</w:t>
      </w:r>
      <w:proofErr w:type="gramEnd"/>
      <w:r>
        <w:rPr>
          <w:szCs w:val="24"/>
        </w:rPr>
        <w:t xml:space="preserve"> torrents coulant sur le glacier permettent en effet une bonne intégration des différentes zones de versant produisant des clastes par mélange lors du transport torrentiel sur le glacier) et trois échantillons seront prélevés à l’exutoire des torrents sous-glaciaires. L’échantillonnage sera réalisé de manière à récolter suffisamment de sable pour pouvoir séparer par simple tamisage, sans broyage au laboratoire, la fraction comprise entre 200 et 500 µm, fraction habituellement utilisée pour la dissolution du quartz lors de la préparation des échantillons pour datation </w:t>
      </w:r>
      <w:proofErr w:type="spellStart"/>
      <w:r>
        <w:rPr>
          <w:szCs w:val="24"/>
        </w:rPr>
        <w:t>cosmogénique</w:t>
      </w:r>
      <w:proofErr w:type="spellEnd"/>
      <w:r>
        <w:rPr>
          <w:szCs w:val="24"/>
        </w:rPr>
        <w:t>. Cette fraction sableuse est plus fine que celle utilisée par Ward et Anderson (2011) et permettra d’obtenir une moyenne correspondant à un grand nombre (quelques milliers) de grains. Elle est cependant plus grossière que celle de la fraction en suspension sur laquelle est basée nombre d’études des flux sédimentaires en provenance des glaciers (</w:t>
      </w:r>
      <w:proofErr w:type="spellStart"/>
      <w:r>
        <w:rPr>
          <w:szCs w:val="24"/>
        </w:rPr>
        <w:t>e.g</w:t>
      </w:r>
      <w:proofErr w:type="spellEnd"/>
      <w:r>
        <w:rPr>
          <w:szCs w:val="24"/>
        </w:rPr>
        <w:t xml:space="preserve">.  </w:t>
      </w:r>
      <w:r w:rsidRPr="00E910A1">
        <w:rPr>
          <w:szCs w:val="24"/>
        </w:rPr>
        <w:t xml:space="preserve">Kuhlmann et </w:t>
      </w:r>
      <w:proofErr w:type="gramStart"/>
      <w:r w:rsidRPr="00E910A1">
        <w:rPr>
          <w:szCs w:val="24"/>
        </w:rPr>
        <w:t>al.,</w:t>
      </w:r>
      <w:proofErr w:type="gramEnd"/>
      <w:r w:rsidRPr="00E910A1">
        <w:rPr>
          <w:szCs w:val="24"/>
        </w:rPr>
        <w:t xml:space="preserve"> 2002</w:t>
      </w:r>
      <w:r>
        <w:rPr>
          <w:szCs w:val="24"/>
        </w:rPr>
        <w:t>). Aussi, des dissolutions seront également réalisées sur des fractions plus fines afin de prendre en compte un éventuel biais lié à la granulométrie; cependant compte tenu des temps de préparations allongés dus à de nécessaires phases de décantation, seuls quelques échantillons de matériel fin seront ainsi analysés.</w:t>
      </w:r>
    </w:p>
    <w:p w:rsidR="00A25337" w:rsidRDefault="00A25337" w:rsidP="00A25337">
      <w:pPr>
        <w:jc w:val="both"/>
        <w:rPr>
          <w:szCs w:val="24"/>
        </w:rPr>
      </w:pPr>
    </w:p>
    <w:p w:rsidR="00A25337" w:rsidRDefault="00A25337" w:rsidP="00A25337">
      <w:pPr>
        <w:ind w:firstLine="360"/>
        <w:jc w:val="both"/>
        <w:rPr>
          <w:szCs w:val="24"/>
        </w:rPr>
      </w:pPr>
      <w:r w:rsidRPr="000F380F">
        <w:rPr>
          <w:b/>
          <w:szCs w:val="24"/>
        </w:rPr>
        <w:t>L’étude morphologique des versants</w:t>
      </w:r>
      <w:r>
        <w:rPr>
          <w:szCs w:val="24"/>
        </w:rPr>
        <w:t xml:space="preserve">, dont sont issus les clastes, sera réalisée afin d’estimer leurs taux de production (voir méthode développée par </w:t>
      </w:r>
      <w:proofErr w:type="spellStart"/>
      <w:r w:rsidRPr="00EF1C73">
        <w:rPr>
          <w:bCs/>
          <w:szCs w:val="24"/>
        </w:rPr>
        <w:t>Delunel</w:t>
      </w:r>
      <w:proofErr w:type="spellEnd"/>
      <w:r w:rsidRPr="00EF1C73">
        <w:rPr>
          <w:bCs/>
          <w:szCs w:val="24"/>
        </w:rPr>
        <w:t xml:space="preserve"> et al.</w:t>
      </w:r>
      <w:r w:rsidRPr="00EF1C73">
        <w:rPr>
          <w:szCs w:val="24"/>
        </w:rPr>
        <w:t xml:space="preserve"> dont </w:t>
      </w:r>
      <w:proofErr w:type="spellStart"/>
      <w:r w:rsidRPr="00EF1C73">
        <w:rPr>
          <w:szCs w:val="24"/>
        </w:rPr>
        <w:t>Carcaillet</w:t>
      </w:r>
      <w:proofErr w:type="spellEnd"/>
      <w:r w:rsidRPr="00EF1C73">
        <w:rPr>
          <w:bCs/>
          <w:szCs w:val="24"/>
        </w:rPr>
        <w:t>, 2010</w:t>
      </w:r>
      <w:r>
        <w:rPr>
          <w:bCs/>
          <w:szCs w:val="24"/>
        </w:rPr>
        <w:t>)</w:t>
      </w:r>
      <w:r>
        <w:rPr>
          <w:szCs w:val="24"/>
        </w:rPr>
        <w:t xml:space="preserve"> ; Ainsi la mesure de la concentration  en isotope </w:t>
      </w:r>
      <w:proofErr w:type="spellStart"/>
      <w:r>
        <w:rPr>
          <w:szCs w:val="24"/>
        </w:rPr>
        <w:t>cosmogénique</w:t>
      </w:r>
      <w:proofErr w:type="spellEnd"/>
      <w:r>
        <w:rPr>
          <w:szCs w:val="24"/>
        </w:rPr>
        <w:t xml:space="preserve"> des échantillons supra-glaciaire combinée à l’étude des taux de production des versants fournira, en utilisant les hypothèses statistiques testées par Ward et al. (2009 ; 2011) </w:t>
      </w:r>
      <w:proofErr w:type="gramStart"/>
      <w:r>
        <w:rPr>
          <w:szCs w:val="24"/>
        </w:rPr>
        <w:t>une</w:t>
      </w:r>
      <w:proofErr w:type="gramEnd"/>
      <w:r>
        <w:rPr>
          <w:szCs w:val="24"/>
        </w:rPr>
        <w:t xml:space="preserve"> valeur moyenne de l’érosion de ces versants ; </w:t>
      </w:r>
    </w:p>
    <w:p w:rsidR="00A25337" w:rsidRDefault="00A25337" w:rsidP="00A25337">
      <w:pPr>
        <w:ind w:firstLine="360"/>
        <w:jc w:val="both"/>
        <w:rPr>
          <w:szCs w:val="24"/>
        </w:rPr>
      </w:pPr>
      <w:r>
        <w:rPr>
          <w:szCs w:val="24"/>
        </w:rPr>
        <w:t>Les mesures effectuées sur les échantillons supra-glaciaire fourniront la composition du  pole « supra-glaciaire » dans l’équation de mélange qui sera ensuite utilisée pour analyser les sédiments des torrents sous-glaciaires ;</w:t>
      </w:r>
    </w:p>
    <w:p w:rsidR="00A25337" w:rsidRDefault="00A25337" w:rsidP="00A25337">
      <w:pPr>
        <w:ind w:firstLine="360"/>
        <w:jc w:val="both"/>
        <w:rPr>
          <w:szCs w:val="24"/>
        </w:rPr>
      </w:pPr>
      <w:r>
        <w:rPr>
          <w:szCs w:val="24"/>
        </w:rPr>
        <w:t>Les échantillons issus des torrents sous-glaciaires étant considéré comme un mélange de supra et sous glaciaire, cette équation permettra alors d’estimer la proportion de sédiments issus de l’érosion sous-glaciaire.</w:t>
      </w:r>
    </w:p>
    <w:p w:rsidR="00A25337" w:rsidRDefault="00A25337" w:rsidP="00A25337">
      <w:pPr>
        <w:ind w:firstLine="360"/>
        <w:jc w:val="both"/>
        <w:rPr>
          <w:szCs w:val="24"/>
        </w:rPr>
      </w:pPr>
      <w:r>
        <w:rPr>
          <w:szCs w:val="24"/>
        </w:rPr>
        <w:t>Dans un dernier temps, en pondérant l’équation de mélange  par le taux d’érosion moyen des versants, par les surfaces des domaines affectés par les processus de versant et celles affectées par l’érosion sous glaciaire il sera possible d’estimer le taux d’érosion moyen  de ces derniers.</w:t>
      </w:r>
    </w:p>
    <w:p w:rsidR="00A25337" w:rsidRDefault="00A25337" w:rsidP="00A25337">
      <w:pPr>
        <w:ind w:firstLine="360"/>
        <w:jc w:val="both"/>
        <w:rPr>
          <w:szCs w:val="24"/>
        </w:rPr>
      </w:pPr>
    </w:p>
    <w:p w:rsidR="00A25337" w:rsidRDefault="00A25337" w:rsidP="00A25337">
      <w:pPr>
        <w:ind w:firstLine="360"/>
        <w:jc w:val="both"/>
        <w:rPr>
          <w:szCs w:val="24"/>
        </w:rPr>
      </w:pPr>
      <w:r w:rsidRPr="000F380F">
        <w:rPr>
          <w:b/>
          <w:szCs w:val="24"/>
        </w:rPr>
        <w:t>Le test de la validité des résultats</w:t>
      </w:r>
      <w:r>
        <w:rPr>
          <w:szCs w:val="24"/>
        </w:rPr>
        <w:t xml:space="preserve"> issus des </w:t>
      </w:r>
      <w:proofErr w:type="spellStart"/>
      <w:r>
        <w:rPr>
          <w:szCs w:val="24"/>
        </w:rPr>
        <w:t>cosmogéniques</w:t>
      </w:r>
      <w:proofErr w:type="spellEnd"/>
      <w:r>
        <w:rPr>
          <w:szCs w:val="24"/>
        </w:rPr>
        <w:t xml:space="preserve"> sera réalisé en comparant ceux-ci avec les estimations des débits des matières en suspension et en charge solide obtenus pour certains de ces glaciers (exutoires </w:t>
      </w:r>
      <w:proofErr w:type="spellStart"/>
      <w:r>
        <w:rPr>
          <w:szCs w:val="24"/>
        </w:rPr>
        <w:t>Crosette</w:t>
      </w:r>
      <w:proofErr w:type="spellEnd"/>
      <w:r>
        <w:rPr>
          <w:szCs w:val="24"/>
        </w:rPr>
        <w:t xml:space="preserve"> et torrents des Bossons (voir résultats du projet INSU </w:t>
      </w:r>
      <w:r>
        <w:rPr>
          <w:szCs w:val="24"/>
        </w:rPr>
        <w:lastRenderedPageBreak/>
        <w:t xml:space="preserve">2012 présenté plus loin ; données du torrent sous-glaciaire d’Argentière, en discussion avec la Société  du barrage d’Emosson). Ceci permettra de vérifier que certaines de nos hypothèses simplificatrices  (notamment sur la faible influence de la granulométrie retenue) n’affectent pas trop considérablement l’approche ici proposée. </w:t>
      </w:r>
    </w:p>
    <w:p w:rsidR="00A25337" w:rsidRDefault="00A25337" w:rsidP="00A25337">
      <w:pPr>
        <w:jc w:val="both"/>
        <w:rPr>
          <w:szCs w:val="24"/>
        </w:rPr>
      </w:pPr>
    </w:p>
    <w:p w:rsidR="00A25337" w:rsidRDefault="00A25337" w:rsidP="00A25337">
      <w:pPr>
        <w:jc w:val="both"/>
        <w:rPr>
          <w:szCs w:val="24"/>
        </w:rPr>
      </w:pPr>
      <w:r w:rsidRPr="000F380F">
        <w:rPr>
          <w:b/>
          <w:szCs w:val="24"/>
        </w:rPr>
        <w:t>Le calendrier</w:t>
      </w:r>
      <w:r w:rsidRPr="00854D62">
        <w:rPr>
          <w:szCs w:val="24"/>
        </w:rPr>
        <w:t xml:space="preserve"> est le suivant : </w:t>
      </w:r>
    </w:p>
    <w:p w:rsidR="00A25337" w:rsidRDefault="00A25337" w:rsidP="00A25337">
      <w:pPr>
        <w:numPr>
          <w:ilvl w:val="0"/>
          <w:numId w:val="4"/>
        </w:numPr>
        <w:jc w:val="both"/>
        <w:rPr>
          <w:szCs w:val="24"/>
        </w:rPr>
      </w:pPr>
      <w:r>
        <w:rPr>
          <w:szCs w:val="24"/>
        </w:rPr>
        <w:t>G</w:t>
      </w:r>
      <w:r w:rsidRPr="00854D62">
        <w:rPr>
          <w:szCs w:val="24"/>
        </w:rPr>
        <w:t>laciers des Bossons</w:t>
      </w:r>
      <w:r>
        <w:rPr>
          <w:szCs w:val="24"/>
        </w:rPr>
        <w:t> :</w:t>
      </w:r>
    </w:p>
    <w:p w:rsidR="00A25337" w:rsidRDefault="00A25337" w:rsidP="00A25337">
      <w:pPr>
        <w:numPr>
          <w:ilvl w:val="1"/>
          <w:numId w:val="3"/>
        </w:numPr>
        <w:jc w:val="both"/>
        <w:rPr>
          <w:szCs w:val="24"/>
        </w:rPr>
      </w:pPr>
      <w:r w:rsidRPr="00854D62">
        <w:rPr>
          <w:szCs w:val="24"/>
        </w:rPr>
        <w:t> </w:t>
      </w:r>
      <w:r>
        <w:rPr>
          <w:szCs w:val="24"/>
        </w:rPr>
        <w:t xml:space="preserve"> </w:t>
      </w:r>
      <w:r w:rsidRPr="00854D62">
        <w:rPr>
          <w:szCs w:val="24"/>
        </w:rPr>
        <w:t>échantillonnage déjà réalisé</w:t>
      </w:r>
      <w:r>
        <w:rPr>
          <w:szCs w:val="24"/>
        </w:rPr>
        <w:t> ;</w:t>
      </w:r>
    </w:p>
    <w:p w:rsidR="00A25337" w:rsidRPr="00854D62" w:rsidRDefault="00A25337" w:rsidP="00A25337">
      <w:pPr>
        <w:numPr>
          <w:ilvl w:val="1"/>
          <w:numId w:val="3"/>
        </w:numPr>
        <w:jc w:val="both"/>
        <w:rPr>
          <w:szCs w:val="24"/>
        </w:rPr>
      </w:pPr>
      <w:r w:rsidRPr="00854D62">
        <w:rPr>
          <w:szCs w:val="24"/>
        </w:rPr>
        <w:t xml:space="preserve">printemps 2014 : préparation des échantillons (dissolution quartz) ; </w:t>
      </w:r>
    </w:p>
    <w:p w:rsidR="00A25337" w:rsidRPr="00854D62" w:rsidRDefault="00A25337" w:rsidP="00A25337">
      <w:pPr>
        <w:numPr>
          <w:ilvl w:val="1"/>
          <w:numId w:val="3"/>
        </w:numPr>
        <w:jc w:val="both"/>
        <w:rPr>
          <w:szCs w:val="24"/>
        </w:rPr>
      </w:pPr>
      <w:r w:rsidRPr="00854D62">
        <w:rPr>
          <w:szCs w:val="24"/>
        </w:rPr>
        <w:t>automne 2014 : premiers résultats</w:t>
      </w:r>
      <w:r>
        <w:rPr>
          <w:szCs w:val="24"/>
        </w:rPr>
        <w:t> ;</w:t>
      </w:r>
    </w:p>
    <w:p w:rsidR="00A25337" w:rsidRDefault="00A25337" w:rsidP="00A25337">
      <w:pPr>
        <w:jc w:val="both"/>
        <w:rPr>
          <w:szCs w:val="24"/>
        </w:rPr>
      </w:pPr>
    </w:p>
    <w:p w:rsidR="00A25337" w:rsidRPr="00854D62" w:rsidRDefault="00A25337" w:rsidP="00A25337">
      <w:pPr>
        <w:numPr>
          <w:ilvl w:val="0"/>
          <w:numId w:val="4"/>
        </w:numPr>
        <w:jc w:val="both"/>
        <w:rPr>
          <w:szCs w:val="24"/>
        </w:rPr>
      </w:pPr>
      <w:r>
        <w:rPr>
          <w:szCs w:val="24"/>
        </w:rPr>
        <w:t xml:space="preserve">Glaciers de </w:t>
      </w:r>
      <w:proofErr w:type="spellStart"/>
      <w:r>
        <w:rPr>
          <w:szCs w:val="24"/>
        </w:rPr>
        <w:t>Bionnassay</w:t>
      </w:r>
      <w:proofErr w:type="spellEnd"/>
      <w:r>
        <w:rPr>
          <w:szCs w:val="24"/>
        </w:rPr>
        <w:t xml:space="preserve">, d’Argentière, du Trient </w:t>
      </w:r>
      <w:r w:rsidRPr="00854D62">
        <w:rPr>
          <w:szCs w:val="24"/>
        </w:rPr>
        <w:t xml:space="preserve">: </w:t>
      </w:r>
    </w:p>
    <w:p w:rsidR="00A25337" w:rsidRPr="00854D62" w:rsidRDefault="00A25337" w:rsidP="00A25337">
      <w:pPr>
        <w:numPr>
          <w:ilvl w:val="1"/>
          <w:numId w:val="3"/>
        </w:numPr>
        <w:jc w:val="both"/>
        <w:rPr>
          <w:szCs w:val="24"/>
        </w:rPr>
      </w:pPr>
      <w:r w:rsidRPr="00854D62">
        <w:rPr>
          <w:szCs w:val="24"/>
        </w:rPr>
        <w:t>Printemps 2014 : calcul des taux de production dans les bassins versants considérés par H. Guillon</w:t>
      </w:r>
      <w:r w:rsidRPr="0086566A">
        <w:rPr>
          <w:szCs w:val="24"/>
        </w:rPr>
        <w:t xml:space="preserve"> </w:t>
      </w:r>
      <w:r>
        <w:rPr>
          <w:szCs w:val="24"/>
        </w:rPr>
        <w:t>(</w:t>
      </w:r>
      <w:r w:rsidRPr="00854D62">
        <w:rPr>
          <w:szCs w:val="24"/>
        </w:rPr>
        <w:t>thés</w:t>
      </w:r>
      <w:r>
        <w:rPr>
          <w:szCs w:val="24"/>
        </w:rPr>
        <w:t>ard)</w:t>
      </w:r>
      <w:r w:rsidRPr="00854D62">
        <w:rPr>
          <w:szCs w:val="24"/>
        </w:rPr>
        <w:t>, en collaboratio</w:t>
      </w:r>
      <w:r>
        <w:rPr>
          <w:szCs w:val="24"/>
        </w:rPr>
        <w:t xml:space="preserve">n avec R. </w:t>
      </w:r>
      <w:proofErr w:type="spellStart"/>
      <w:r>
        <w:rPr>
          <w:szCs w:val="24"/>
        </w:rPr>
        <w:t>Delunel</w:t>
      </w:r>
      <w:proofErr w:type="spellEnd"/>
      <w:r>
        <w:rPr>
          <w:szCs w:val="24"/>
        </w:rPr>
        <w:t xml:space="preserve"> (</w:t>
      </w:r>
      <w:proofErr w:type="spellStart"/>
      <w:r>
        <w:rPr>
          <w:szCs w:val="24"/>
        </w:rPr>
        <w:t>Univ</w:t>
      </w:r>
      <w:proofErr w:type="spellEnd"/>
      <w:r>
        <w:rPr>
          <w:szCs w:val="24"/>
        </w:rPr>
        <w:t>. Bern) ;</w:t>
      </w:r>
    </w:p>
    <w:p w:rsidR="00A25337" w:rsidRPr="00854D62" w:rsidRDefault="00A25337" w:rsidP="00A25337">
      <w:pPr>
        <w:numPr>
          <w:ilvl w:val="1"/>
          <w:numId w:val="3"/>
        </w:numPr>
        <w:jc w:val="both"/>
        <w:rPr>
          <w:szCs w:val="24"/>
        </w:rPr>
      </w:pPr>
      <w:r w:rsidRPr="00854D62">
        <w:rPr>
          <w:szCs w:val="24"/>
        </w:rPr>
        <w:t>Eté 2014 : Echantillo</w:t>
      </w:r>
      <w:r>
        <w:rPr>
          <w:szCs w:val="24"/>
        </w:rPr>
        <w:t>n</w:t>
      </w:r>
      <w:r w:rsidRPr="00854D62">
        <w:rPr>
          <w:szCs w:val="24"/>
        </w:rPr>
        <w:t>nage pour tous les glaciers ;</w:t>
      </w:r>
    </w:p>
    <w:p w:rsidR="00A25337" w:rsidRPr="00854D62" w:rsidRDefault="00A25337" w:rsidP="00A25337">
      <w:pPr>
        <w:numPr>
          <w:ilvl w:val="1"/>
          <w:numId w:val="3"/>
        </w:numPr>
        <w:jc w:val="both"/>
        <w:rPr>
          <w:szCs w:val="24"/>
        </w:rPr>
      </w:pPr>
      <w:r w:rsidRPr="00854D62">
        <w:rPr>
          <w:szCs w:val="24"/>
        </w:rPr>
        <w:t>préparation automne (dissolution)</w:t>
      </w:r>
      <w:r>
        <w:rPr>
          <w:szCs w:val="24"/>
        </w:rPr>
        <w:t> ;</w:t>
      </w:r>
    </w:p>
    <w:p w:rsidR="00A25337" w:rsidRPr="00854D62" w:rsidRDefault="00A25337" w:rsidP="00A25337">
      <w:pPr>
        <w:numPr>
          <w:ilvl w:val="1"/>
          <w:numId w:val="3"/>
        </w:numPr>
        <w:jc w:val="both"/>
        <w:rPr>
          <w:szCs w:val="24"/>
        </w:rPr>
      </w:pPr>
      <w:r w:rsidRPr="00854D62">
        <w:rPr>
          <w:szCs w:val="24"/>
        </w:rPr>
        <w:t>préparation complète et analyse de tous les échantillons dans le cadre d’un stage M2R (2014-2015)</w:t>
      </w:r>
      <w:r>
        <w:rPr>
          <w:szCs w:val="24"/>
        </w:rPr>
        <w:t> ;</w:t>
      </w:r>
    </w:p>
    <w:p w:rsidR="00A25337" w:rsidRPr="00854D62" w:rsidRDefault="00A25337" w:rsidP="00A25337">
      <w:pPr>
        <w:numPr>
          <w:ilvl w:val="1"/>
          <w:numId w:val="3"/>
        </w:numPr>
        <w:jc w:val="both"/>
        <w:rPr>
          <w:szCs w:val="24"/>
        </w:rPr>
      </w:pPr>
      <w:r w:rsidRPr="00854D62">
        <w:rPr>
          <w:szCs w:val="24"/>
        </w:rPr>
        <w:t xml:space="preserve">comparaison avec les flux dans le cadre thèse H. Guillon. </w:t>
      </w:r>
    </w:p>
    <w:p w:rsidR="00A25337" w:rsidRPr="00FB3372" w:rsidRDefault="00A25337" w:rsidP="00A25337">
      <w:pPr>
        <w:jc w:val="both"/>
        <w:rPr>
          <w:rFonts w:ascii="Arial" w:hAnsi="Arial" w:cs="Arial"/>
          <w:sz w:val="20"/>
        </w:rPr>
      </w:pPr>
    </w:p>
    <w:p w:rsidR="00A25337" w:rsidRPr="00FB3372" w:rsidRDefault="00A25337" w:rsidP="00A25337">
      <w:pPr>
        <w:jc w:val="both"/>
        <w:rPr>
          <w:rFonts w:ascii="Arial" w:hAnsi="Arial" w:cs="Arial"/>
          <w:b/>
          <w:sz w:val="20"/>
        </w:rPr>
      </w:pPr>
      <w:r w:rsidRPr="00FB3372">
        <w:rPr>
          <w:rFonts w:ascii="Arial" w:hAnsi="Arial" w:cs="Arial"/>
          <w:b/>
          <w:sz w:val="20"/>
        </w:rPr>
        <w:t>3. Résultats attendus</w:t>
      </w:r>
    </w:p>
    <w:p w:rsidR="00A25337" w:rsidRPr="00FB3372" w:rsidRDefault="00A25337" w:rsidP="00A25337">
      <w:pPr>
        <w:jc w:val="both"/>
        <w:rPr>
          <w:rFonts w:ascii="Arial" w:hAnsi="Arial" w:cs="Arial"/>
          <w:sz w:val="20"/>
        </w:rPr>
      </w:pPr>
    </w:p>
    <w:p w:rsidR="00A25337" w:rsidRPr="00854D62" w:rsidRDefault="00A25337" w:rsidP="00A25337">
      <w:pPr>
        <w:jc w:val="both"/>
        <w:rPr>
          <w:szCs w:val="24"/>
        </w:rPr>
      </w:pPr>
      <w:r>
        <w:rPr>
          <w:szCs w:val="24"/>
        </w:rPr>
        <w:t xml:space="preserve">Cette étude est inédite ; elle permettra de tester une méthode pour séparer simplement dans le signal d’érosion mesuré dans les torrents pro-glaciaires </w:t>
      </w:r>
      <w:r w:rsidRPr="00854D62">
        <w:rPr>
          <w:szCs w:val="24"/>
        </w:rPr>
        <w:t xml:space="preserve">la part </w:t>
      </w:r>
      <w:r>
        <w:rPr>
          <w:szCs w:val="24"/>
        </w:rPr>
        <w:t xml:space="preserve">respective </w:t>
      </w:r>
      <w:r w:rsidRPr="00854D62">
        <w:rPr>
          <w:szCs w:val="24"/>
        </w:rPr>
        <w:t xml:space="preserve">de l’érosion glaciaire </w:t>
      </w:r>
      <w:r>
        <w:rPr>
          <w:szCs w:val="24"/>
        </w:rPr>
        <w:t xml:space="preserve">de celle </w:t>
      </w:r>
      <w:r w:rsidRPr="00854D62">
        <w:rPr>
          <w:szCs w:val="24"/>
        </w:rPr>
        <w:t>des versants</w:t>
      </w:r>
      <w:r>
        <w:rPr>
          <w:szCs w:val="24"/>
        </w:rPr>
        <w:t xml:space="preserve"> à</w:t>
      </w:r>
      <w:r w:rsidRPr="00854D62">
        <w:rPr>
          <w:szCs w:val="24"/>
        </w:rPr>
        <w:t xml:space="preserve"> l’échelle d’un massif montagneux englacée. </w:t>
      </w:r>
    </w:p>
    <w:p w:rsidR="00A25337" w:rsidRDefault="00A25337" w:rsidP="00A25337">
      <w:pPr>
        <w:jc w:val="both"/>
        <w:rPr>
          <w:szCs w:val="24"/>
        </w:rPr>
      </w:pPr>
      <w:r>
        <w:rPr>
          <w:szCs w:val="24"/>
        </w:rPr>
        <w:t>En estimant les taux d’érosion respectifs (versant-sous-glaciaire) dans différents contextes, ce travail permettra également d’aborder  l’i</w:t>
      </w:r>
      <w:r w:rsidRPr="00854D62">
        <w:rPr>
          <w:szCs w:val="24"/>
        </w:rPr>
        <w:t>mpact des rétroactions entre érosion des versants et érosion sous-glaciaire</w:t>
      </w:r>
      <w:r>
        <w:rPr>
          <w:szCs w:val="24"/>
        </w:rPr>
        <w:t xml:space="preserve">, un impact jusqu’à lors négligé dans la création de reliefs dans les systèmes montagneux englacés. </w:t>
      </w:r>
    </w:p>
    <w:p w:rsidR="00564A96" w:rsidRDefault="00A25337"/>
    <w:sectPr w:rsidR="00564A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203BF"/>
    <w:multiLevelType w:val="hybridMultilevel"/>
    <w:tmpl w:val="07AE178C"/>
    <w:lvl w:ilvl="0" w:tplc="57A6DA02">
      <w:start w:val="1"/>
      <w:numFmt w:val="decimal"/>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AC2F3A"/>
    <w:multiLevelType w:val="hybridMultilevel"/>
    <w:tmpl w:val="B0AAFED8"/>
    <w:lvl w:ilvl="0" w:tplc="37C03B62">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
    <w:nsid w:val="670272E6"/>
    <w:multiLevelType w:val="hybridMultilevel"/>
    <w:tmpl w:val="DF8C7E90"/>
    <w:lvl w:ilvl="0" w:tplc="E90E6298">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9A62F48"/>
    <w:multiLevelType w:val="hybridMultilevel"/>
    <w:tmpl w:val="13808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337"/>
    <w:rsid w:val="00A25337"/>
    <w:rsid w:val="00A5121D"/>
    <w:rsid w:val="00DF77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533924-CAEF-4C4A-A68F-87312678B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337"/>
    <w:pPr>
      <w:spacing w:after="0" w:line="240" w:lineRule="auto"/>
    </w:pPr>
    <w:rPr>
      <w:rFonts w:ascii="Times New Roman" w:eastAsia="Times New Roman" w:hAnsi="Times New Roman"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rsid w:val="00A25337"/>
    <w:rPr>
      <w:rFonts w:ascii="Courier New" w:hAnsi="Courier New" w:cs="Courier New"/>
      <w:sz w:val="20"/>
    </w:rPr>
  </w:style>
  <w:style w:type="character" w:customStyle="1" w:styleId="TextebrutCar">
    <w:name w:val="Texte brut Car"/>
    <w:basedOn w:val="Policepardfaut"/>
    <w:link w:val="Textebrut"/>
    <w:rsid w:val="00A25337"/>
    <w:rPr>
      <w:rFonts w:ascii="Courier New" w:eastAsia="Times New Roman" w:hAnsi="Courier New" w:cs="Courier New"/>
      <w:sz w:val="20"/>
      <w:szCs w:val="20"/>
      <w:lang w:eastAsia="fr-FR"/>
    </w:rPr>
  </w:style>
  <w:style w:type="paragraph" w:customStyle="1" w:styleId="Textebrut1">
    <w:name w:val="Texte brut1"/>
    <w:basedOn w:val="Normal"/>
    <w:rsid w:val="00A25337"/>
    <w:pPr>
      <w:suppressAutoHyphens/>
    </w:pPr>
    <w:rPr>
      <w:rFonts w:ascii="Courier New" w:hAnsi="Courier New" w:cs="Courier New"/>
      <w:sz w:val="20"/>
      <w:lang w:eastAsia="ar-SA"/>
    </w:rPr>
  </w:style>
  <w:style w:type="character" w:styleId="Accentuation">
    <w:name w:val="Emphasis"/>
    <w:uiPriority w:val="20"/>
    <w:qFormat/>
    <w:rsid w:val="00A25337"/>
    <w:rPr>
      <w:i/>
      <w:iCs/>
    </w:rPr>
  </w:style>
  <w:style w:type="character" w:styleId="CitationHTML">
    <w:name w:val="HTML Cite"/>
    <w:uiPriority w:val="99"/>
    <w:semiHidden/>
    <w:unhideWhenUsed/>
    <w:rsid w:val="00A25337"/>
    <w:rPr>
      <w:i/>
      <w:iCs/>
    </w:rPr>
  </w:style>
  <w:style w:type="character" w:customStyle="1" w:styleId="author">
    <w:name w:val="author"/>
    <w:rsid w:val="00A25337"/>
  </w:style>
  <w:style w:type="character" w:customStyle="1" w:styleId="articletitle">
    <w:name w:val="articletitle"/>
    <w:rsid w:val="00A25337"/>
  </w:style>
  <w:style w:type="character" w:customStyle="1" w:styleId="journaltitle">
    <w:name w:val="journaltitle"/>
    <w:rsid w:val="00A25337"/>
  </w:style>
  <w:style w:type="character" w:customStyle="1" w:styleId="pubyear">
    <w:name w:val="pubyear"/>
    <w:rsid w:val="00A25337"/>
  </w:style>
  <w:style w:type="character" w:customStyle="1" w:styleId="vol">
    <w:name w:val="vol"/>
    <w:rsid w:val="00A25337"/>
  </w:style>
  <w:style w:type="character" w:customStyle="1" w:styleId="pagefirst">
    <w:name w:val="pagefirst"/>
    <w:rsid w:val="00A25337"/>
  </w:style>
  <w:style w:type="character" w:styleId="Lienhypertexte">
    <w:name w:val="Hyperlink"/>
    <w:uiPriority w:val="99"/>
    <w:unhideWhenUsed/>
    <w:rsid w:val="00A25337"/>
    <w:rPr>
      <w:color w:val="0563C1"/>
      <w:u w:val="single"/>
    </w:rPr>
  </w:style>
  <w:style w:type="character" w:customStyle="1" w:styleId="referencetext">
    <w:name w:val="referencetext"/>
    <w:rsid w:val="00A25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dx.doi.org/10.1016/j.epsl.2013.05.01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2575</Words>
  <Characters>14166</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jemug</dc:creator>
  <cp:keywords/>
  <dc:description/>
  <cp:lastModifiedBy>jemug</cp:lastModifiedBy>
  <cp:revision>1</cp:revision>
  <dcterms:created xsi:type="dcterms:W3CDTF">2014-06-16T09:09:00Z</dcterms:created>
  <dcterms:modified xsi:type="dcterms:W3CDTF">2014-06-16T09:11:00Z</dcterms:modified>
</cp:coreProperties>
</file>